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59" w:lineRule="exact"/>
        <w:ind w:left="1291" w:right="1330" w:firstLine="0"/>
        <w:jc w:val="center"/>
        <w:rPr>
          <w:rFonts w:hint="eastAsia" w:ascii="Microsoft JhengHei" w:eastAsia="Microsoft JhengHei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第一文化传媒私募股权投资基金 2018 年年度报告</w:t>
      </w:r>
    </w:p>
    <w:p>
      <w:pPr>
        <w:pStyle w:val="3"/>
        <w:spacing w:before="119"/>
        <w:ind w:left="1291" w:right="1330"/>
        <w:jc w:val="center"/>
      </w:pPr>
      <w:r>
        <w:t>2018-01-01-2018-12-31</w:t>
      </w:r>
    </w:p>
    <w:p>
      <w:pPr>
        <w:pStyle w:val="3"/>
        <w:rPr>
          <w:sz w:val="20"/>
        </w:rPr>
      </w:pPr>
    </w:p>
    <w:p>
      <w:pPr>
        <w:spacing w:before="0"/>
        <w:ind w:left="7055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color w:val="FF0000"/>
          <w:sz w:val="21"/>
        </w:rPr>
        <w:t>金额单位：万元</w:t>
      </w:r>
    </w:p>
    <w:p>
      <w:pPr>
        <w:spacing w:before="124"/>
        <w:ind w:left="22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1、 基金产品概况</w:t>
      </w:r>
    </w:p>
    <w:p>
      <w:pPr>
        <w:pStyle w:val="3"/>
        <w:spacing w:before="17"/>
        <w:rPr>
          <w:rFonts w:ascii="Microsoft JhengHei"/>
          <w:b/>
          <w:sz w:val="10"/>
        </w:rPr>
      </w:pPr>
    </w:p>
    <w:p>
      <w:pPr>
        <w:pStyle w:val="7"/>
        <w:numPr>
          <w:ilvl w:val="1"/>
          <w:numId w:val="1"/>
        </w:numPr>
        <w:tabs>
          <w:tab w:val="left" w:pos="645"/>
        </w:tabs>
        <w:spacing w:before="1" w:after="50" w:line="240" w:lineRule="auto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基金基本情况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第一文化传媒私募股权投资基金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SW0161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基金类型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创业投资基金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基金注册地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不适用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基金成立日期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2017-07-31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基金到期日期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2020-07-31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认缴金额（如有）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已实缴金额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估值方法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按成本估值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期末总资产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期末净资产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732.5779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关键人士/投资经理/投资团队（如有）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投资者数量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>
      <w:pPr>
        <w:pStyle w:val="3"/>
        <w:spacing w:before="12"/>
        <w:rPr>
          <w:rFonts w:ascii="Microsoft JhengHei"/>
          <w:b/>
          <w:sz w:val="18"/>
        </w:rPr>
      </w:pPr>
    </w:p>
    <w:p>
      <w:pPr>
        <w:pStyle w:val="7"/>
        <w:numPr>
          <w:ilvl w:val="1"/>
          <w:numId w:val="1"/>
        </w:numPr>
        <w:tabs>
          <w:tab w:val="left" w:pos="645"/>
        </w:tabs>
        <w:spacing w:before="0" w:after="0" w:line="240" w:lineRule="auto"/>
        <w:ind w:left="645" w:right="0" w:hanging="425"/>
        <w:jc w:val="left"/>
        <w:rPr>
          <w:b/>
          <w:sz w:val="21"/>
        </w:rPr>
      </w:pPr>
      <w:r>
        <w:pict>
          <v:shape id="_x0000_s1026" o:spid="_x0000_s1026" o:spt="202" type="#_x0000_t202" style="position:absolute;left:0pt;margin-left:84.3pt;margin-top:21.8pt;height:221.9pt;width:426.85pt;mso-position-horizontal-relative:page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1"/>
                    <w:gridCol w:w="426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8" w:hRule="atLeast"/>
                    </w:trPr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投资目标</w:t>
                        </w:r>
                      </w:p>
                    </w:tc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spacing w:line="278" w:lineRule="auto"/>
                          <w:ind w:left="108" w:right="15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本基金主要投资于新三板公司及非上市公司的股权。资金闲置时可投资于银行存款、货币基金、银行保本型理财等低风险理财产品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5" w:hRule="atLeast"/>
                    </w:trPr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投资策略</w:t>
                        </w:r>
                      </w:p>
                    </w:tc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spacing w:line="278" w:lineRule="auto"/>
                          <w:ind w:left="108" w:righ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本基金策略主要投资于新三板公司及非上市公司的股权，通过获取标的公司股权，与企</w:t>
                        </w:r>
                      </w:p>
                      <w:p>
                        <w:pPr>
                          <w:pStyle w:val="8"/>
                          <w:spacing w:before="0" w:line="269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业共同成长，获取企业发展的红利。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8" w:hRule="atLeast"/>
                    </w:trPr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投资范围</w:t>
                        </w:r>
                      </w:p>
                    </w:tc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spacing w:line="278" w:lineRule="auto"/>
                          <w:ind w:left="108" w:right="15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本基金主要投资于新三板公司及非上市公司的股权。资金闲置时可投资于银行存款、货币基金、银行保本型理财等低风险理财产品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关注行业</w:t>
                        </w:r>
                      </w:p>
                    </w:tc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信息技术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关注阶段</w:t>
                        </w:r>
                      </w:p>
                    </w:tc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扩张期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其他需说明事项</w:t>
                        </w:r>
                      </w:p>
                    </w:tc>
                    <w:tc>
                      <w:tcPr>
                        <w:tcW w:w="4261" w:type="dxa"/>
                      </w:tcPr>
                      <w:p>
                        <w:pPr>
                          <w:pStyle w:val="8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b/>
          <w:sz w:val="21"/>
        </w:rPr>
        <w:t>基金产品说明</w:t>
      </w: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spacing w:before="9"/>
        <w:rPr>
          <w:rFonts w:ascii="Microsoft JhengHei"/>
          <w:b/>
          <w:sz w:val="18"/>
        </w:rPr>
      </w:pPr>
    </w:p>
    <w:p>
      <w:pPr>
        <w:pStyle w:val="3"/>
        <w:ind w:left="8471"/>
      </w:pPr>
      <w: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1"/>
        <w:ind w:left="8471"/>
      </w:pPr>
      <w: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8"/>
        </w:rPr>
      </w:pPr>
    </w:p>
    <w:p>
      <w:pPr>
        <w:pStyle w:val="2"/>
        <w:numPr>
          <w:ilvl w:val="1"/>
          <w:numId w:val="1"/>
        </w:numPr>
        <w:tabs>
          <w:tab w:val="left" w:pos="645"/>
        </w:tabs>
        <w:spacing w:before="1" w:after="50" w:line="240" w:lineRule="auto"/>
        <w:ind w:left="645" w:right="0" w:hanging="425"/>
        <w:jc w:val="left"/>
      </w:pPr>
      <w:r>
        <w:t>基金管理人和基金托管人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173"/>
        <w:gridCol w:w="3136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8"/>
              <w:ind w:left="888" w:right="878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3136" w:type="dxa"/>
          </w:tcPr>
          <w:p>
            <w:pPr>
              <w:pStyle w:val="8"/>
              <w:ind w:left="1043"/>
              <w:rPr>
                <w:sz w:val="21"/>
              </w:rPr>
            </w:pPr>
            <w:r>
              <w:rPr>
                <w:sz w:val="21"/>
              </w:rPr>
              <w:t>基金管理人</w:t>
            </w:r>
          </w:p>
        </w:tc>
        <w:tc>
          <w:tcPr>
            <w:tcW w:w="3150" w:type="dxa"/>
          </w:tcPr>
          <w:p>
            <w:pPr>
              <w:pStyle w:val="8"/>
              <w:ind w:left="630"/>
              <w:rPr>
                <w:sz w:val="21"/>
              </w:rPr>
            </w:pPr>
            <w:r>
              <w:rPr>
                <w:sz w:val="21"/>
              </w:rPr>
              <w:t>基金托管人（如有）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36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136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深圳前海第一基金管理有限公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司</w:t>
            </w:r>
          </w:p>
        </w:tc>
        <w:tc>
          <w:tcPr>
            <w:tcW w:w="315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招商银行股份有限公司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3" w:type="dxa"/>
            <w:vMerge w:val="restart"/>
          </w:tcPr>
          <w:p>
            <w:pPr>
              <w:pStyle w:val="8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spacing w:before="0" w:line="278" w:lineRule="auto"/>
              <w:ind w:left="216" w:right="99" w:hanging="105"/>
              <w:rPr>
                <w:sz w:val="21"/>
              </w:rPr>
            </w:pPr>
            <w:r>
              <w:rPr>
                <w:sz w:val="21"/>
              </w:rPr>
              <w:t>信息披露负责人</w:t>
            </w:r>
          </w:p>
        </w:tc>
        <w:tc>
          <w:tcPr>
            <w:tcW w:w="1173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3136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叶灼荣</w:t>
            </w:r>
          </w:p>
        </w:tc>
        <w:tc>
          <w:tcPr>
            <w:tcW w:w="315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姚敏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136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0769-23039520</w:t>
            </w:r>
          </w:p>
        </w:tc>
        <w:tc>
          <w:tcPr>
            <w:tcW w:w="3150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027-85495657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136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fldChar w:fldCharType="begin"/>
            </w:r>
            <w:r>
              <w:instrText xml:space="preserve"> HYPERLINK "mailto:no1jijin@163.com" \h </w:instrText>
            </w:r>
            <w:r>
              <w:fldChar w:fldCharType="separate"/>
            </w:r>
            <w:r>
              <w:rPr>
                <w:sz w:val="21"/>
              </w:rPr>
              <w:t>no1jijin@163.com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3150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fldChar w:fldCharType="begin"/>
            </w:r>
            <w:r>
              <w:instrText xml:space="preserve"> HYPERLINK "mailto:yaomin331@cmbchina.com" \h </w:instrText>
            </w:r>
            <w:r>
              <w:fldChar w:fldCharType="separate"/>
            </w:r>
            <w:r>
              <w:rPr>
                <w:sz w:val="21"/>
              </w:rPr>
              <w:t>yaomin331@cmbchina.com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6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3136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0769-23039520</w:t>
            </w:r>
          </w:p>
        </w:tc>
        <w:tc>
          <w:tcPr>
            <w:tcW w:w="3150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0755-22940165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236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136" w:type="dxa"/>
          </w:tcPr>
          <w:p>
            <w:pPr>
              <w:pStyle w:val="8"/>
              <w:spacing w:line="278" w:lineRule="auto"/>
              <w:ind w:left="108" w:right="28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广东省深圳市前海深港合作区</w:t>
            </w:r>
            <w:r>
              <w:rPr>
                <w:spacing w:val="-11"/>
                <w:sz w:val="21"/>
              </w:rPr>
              <w:t xml:space="preserve">前湾一路 </w:t>
            </w:r>
            <w:r>
              <w:rPr>
                <w:sz w:val="21"/>
              </w:rPr>
              <w:t>1</w:t>
            </w:r>
            <w:r>
              <w:rPr>
                <w:spacing w:val="-36"/>
                <w:sz w:val="21"/>
              </w:rPr>
              <w:t xml:space="preserve"> 号 </w:t>
            </w:r>
            <w:r>
              <w:rPr>
                <w:sz w:val="21"/>
              </w:rPr>
              <w:t>A</w:t>
            </w:r>
            <w:r>
              <w:rPr>
                <w:spacing w:val="-36"/>
                <w:sz w:val="21"/>
              </w:rPr>
              <w:t xml:space="preserve"> 栋 </w:t>
            </w:r>
            <w:r>
              <w:rPr>
                <w:sz w:val="21"/>
              </w:rPr>
              <w:t>201</w:t>
            </w:r>
            <w:r>
              <w:rPr>
                <w:spacing w:val="-27"/>
                <w:sz w:val="21"/>
              </w:rPr>
              <w:t xml:space="preserve"> 室</w:t>
            </w:r>
            <w:r>
              <w:rPr>
                <w:sz w:val="21"/>
              </w:rPr>
              <w:t>（</w:t>
            </w:r>
            <w:r>
              <w:rPr>
                <w:spacing w:val="-16"/>
                <w:sz w:val="21"/>
              </w:rPr>
              <w:t>入</w:t>
            </w:r>
            <w:r>
              <w:rPr>
                <w:spacing w:val="-2"/>
                <w:sz w:val="21"/>
              </w:rPr>
              <w:t>驻深圳市前海商务秘书有限公</w:t>
            </w:r>
          </w:p>
          <w:p>
            <w:pPr>
              <w:pStyle w:val="8"/>
              <w:spacing w:before="0"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司）</w:t>
            </w:r>
          </w:p>
        </w:tc>
        <w:tc>
          <w:tcPr>
            <w:tcW w:w="315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武汉市汉口建设大道 518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6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办公地址</w:t>
            </w:r>
          </w:p>
        </w:tc>
        <w:tc>
          <w:tcPr>
            <w:tcW w:w="3136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广东省东莞市南城区鸿福路 102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号汇成大厦 1501</w:t>
            </w:r>
          </w:p>
        </w:tc>
        <w:tc>
          <w:tcPr>
            <w:tcW w:w="315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武汉市江汉区建设大道 518 号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招银大厦裙楼 516 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136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523000</w:t>
            </w:r>
          </w:p>
        </w:tc>
        <w:tc>
          <w:tcPr>
            <w:tcW w:w="3150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430022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3136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叶灼荣</w:t>
            </w:r>
          </w:p>
        </w:tc>
        <w:tc>
          <w:tcPr>
            <w:tcW w:w="315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文行赤</w:t>
            </w:r>
          </w:p>
        </w:tc>
      </w:tr>
    </w:tbl>
    <w:p>
      <w:pPr>
        <w:pStyle w:val="3"/>
        <w:spacing w:before="11"/>
        <w:rPr>
          <w:rFonts w:ascii="Microsoft JhengHei"/>
          <w:b/>
          <w:sz w:val="18"/>
        </w:rPr>
      </w:pPr>
    </w:p>
    <w:p>
      <w:pPr>
        <w:pStyle w:val="7"/>
        <w:numPr>
          <w:ilvl w:val="1"/>
          <w:numId w:val="1"/>
        </w:numPr>
        <w:tabs>
          <w:tab w:val="left" w:pos="645"/>
        </w:tabs>
        <w:spacing w:before="1" w:after="51" w:line="240" w:lineRule="auto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基金投资者情况（选填）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228"/>
        <w:gridCol w:w="1783"/>
        <w:gridCol w:w="1635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8" w:type="dxa"/>
          </w:tcPr>
          <w:p>
            <w:pPr>
              <w:pStyle w:val="8"/>
              <w:ind w:left="40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28" w:type="dxa"/>
          </w:tcPr>
          <w:p>
            <w:pPr>
              <w:pStyle w:val="8"/>
              <w:ind w:left="589"/>
              <w:rPr>
                <w:sz w:val="21"/>
              </w:rPr>
            </w:pPr>
            <w:r>
              <w:rPr>
                <w:sz w:val="21"/>
              </w:rPr>
              <w:t>投资者名称</w:t>
            </w:r>
          </w:p>
        </w:tc>
        <w:tc>
          <w:tcPr>
            <w:tcW w:w="1783" w:type="dxa"/>
          </w:tcPr>
          <w:p>
            <w:pPr>
              <w:pStyle w:val="8"/>
              <w:ind w:left="366"/>
              <w:rPr>
                <w:sz w:val="21"/>
              </w:rPr>
            </w:pPr>
            <w:r>
              <w:rPr>
                <w:sz w:val="21"/>
              </w:rPr>
              <w:t>投资者类型</w:t>
            </w:r>
          </w:p>
        </w:tc>
        <w:tc>
          <w:tcPr>
            <w:tcW w:w="1635" w:type="dxa"/>
          </w:tcPr>
          <w:p>
            <w:pPr>
              <w:pStyle w:val="8"/>
              <w:ind w:left="397"/>
              <w:rPr>
                <w:sz w:val="21"/>
              </w:rPr>
            </w:pPr>
            <w:r>
              <w:rPr>
                <w:sz w:val="21"/>
              </w:rPr>
              <w:t>认缴出资</w:t>
            </w:r>
          </w:p>
        </w:tc>
        <w:tc>
          <w:tcPr>
            <w:tcW w:w="1638" w:type="dxa"/>
          </w:tcPr>
          <w:p>
            <w:pPr>
              <w:pStyle w:val="8"/>
              <w:ind w:left="399"/>
              <w:rPr>
                <w:sz w:val="21"/>
              </w:rPr>
            </w:pPr>
            <w:r>
              <w:rPr>
                <w:sz w:val="21"/>
              </w:rPr>
              <w:t>实缴出资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12"/>
        <w:rPr>
          <w:rFonts w:ascii="Microsoft JhengHei"/>
          <w:b/>
          <w:sz w:val="18"/>
        </w:rPr>
      </w:pPr>
    </w:p>
    <w:p>
      <w:pPr>
        <w:pStyle w:val="7"/>
        <w:numPr>
          <w:ilvl w:val="1"/>
          <w:numId w:val="1"/>
        </w:numPr>
        <w:tabs>
          <w:tab w:val="left" w:pos="645"/>
        </w:tabs>
        <w:spacing w:before="0" w:after="51" w:line="240" w:lineRule="auto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外包机构情况（如有）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</w:tcPr>
          <w:p>
            <w:pPr>
              <w:pStyle w:val="8"/>
              <w:ind w:left="834" w:right="825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130" w:type="dxa"/>
          </w:tcPr>
          <w:p>
            <w:pPr>
              <w:pStyle w:val="8"/>
              <w:ind w:left="834" w:right="825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2131" w:type="dxa"/>
          </w:tcPr>
          <w:p>
            <w:pPr>
              <w:pStyle w:val="8"/>
              <w:ind w:left="645"/>
              <w:rPr>
                <w:sz w:val="21"/>
              </w:rPr>
            </w:pPr>
            <w:r>
              <w:rPr>
                <w:sz w:val="21"/>
              </w:rPr>
              <w:t>办公地址</w:t>
            </w:r>
          </w:p>
        </w:tc>
        <w:tc>
          <w:tcPr>
            <w:tcW w:w="2131" w:type="dxa"/>
          </w:tcPr>
          <w:p>
            <w:pPr>
              <w:pStyle w:val="8"/>
              <w:ind w:left="645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会计师事务所</w:t>
            </w:r>
          </w:p>
        </w:tc>
        <w:tc>
          <w:tcPr>
            <w:tcW w:w="213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注册登记机构</w:t>
            </w:r>
          </w:p>
        </w:tc>
        <w:tc>
          <w:tcPr>
            <w:tcW w:w="213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3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3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2、 基金运营情况</w:t>
      </w:r>
    </w:p>
    <w:p>
      <w:pPr>
        <w:pStyle w:val="3"/>
        <w:spacing w:before="18"/>
        <w:rPr>
          <w:rFonts w:ascii="Microsoft JhengHei"/>
          <w:b/>
          <w:sz w:val="10"/>
        </w:rPr>
      </w:pPr>
    </w:p>
    <w:p>
      <w:pPr>
        <w:pStyle w:val="7"/>
        <w:numPr>
          <w:ilvl w:val="1"/>
          <w:numId w:val="2"/>
        </w:numPr>
        <w:tabs>
          <w:tab w:val="left" w:pos="645"/>
        </w:tabs>
        <w:spacing w:before="0" w:after="50" w:line="240" w:lineRule="auto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累计运营情况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491"/>
        <w:gridCol w:w="2695"/>
        <w:gridCol w:w="1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2869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期末累计投资总额（实缴）</w:t>
            </w:r>
          </w:p>
        </w:tc>
        <w:tc>
          <w:tcPr>
            <w:tcW w:w="5653" w:type="dxa"/>
            <w:gridSpan w:val="3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69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期末累计运营费用</w:t>
            </w:r>
          </w:p>
        </w:tc>
        <w:tc>
          <w:tcPr>
            <w:tcW w:w="5653" w:type="dxa"/>
            <w:gridSpan w:val="3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17.422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69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期末累计收益</w:t>
            </w:r>
          </w:p>
        </w:tc>
        <w:tc>
          <w:tcPr>
            <w:tcW w:w="5653" w:type="dxa"/>
            <w:gridSpan w:val="3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69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期末累计总投资项目个数</w:t>
            </w:r>
          </w:p>
        </w:tc>
        <w:tc>
          <w:tcPr>
            <w:tcW w:w="149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695" w:type="dxa"/>
          </w:tcPr>
          <w:p>
            <w:pPr>
              <w:pStyle w:val="8"/>
              <w:ind w:right="266"/>
              <w:jc w:val="right"/>
              <w:rPr>
                <w:sz w:val="21"/>
              </w:rPr>
            </w:pPr>
            <w:r>
              <w:rPr>
                <w:sz w:val="21"/>
              </w:rPr>
              <w:t>期末累计总投资项目总额</w:t>
            </w:r>
          </w:p>
        </w:tc>
        <w:tc>
          <w:tcPr>
            <w:tcW w:w="1467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69" w:type="dxa"/>
          </w:tcPr>
          <w:p>
            <w:pPr>
              <w:pStyle w:val="8"/>
              <w:ind w:left="527"/>
              <w:rPr>
                <w:sz w:val="21"/>
              </w:rPr>
            </w:pPr>
            <w:r>
              <w:rPr>
                <w:sz w:val="21"/>
              </w:rPr>
              <w:t>其中：在管项目个数</w:t>
            </w:r>
          </w:p>
        </w:tc>
        <w:tc>
          <w:tcPr>
            <w:tcW w:w="149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695" w:type="dxa"/>
          </w:tcPr>
          <w:p>
            <w:pPr>
              <w:pStyle w:val="8"/>
              <w:ind w:right="266"/>
              <w:jc w:val="right"/>
              <w:rPr>
                <w:sz w:val="21"/>
              </w:rPr>
            </w:pPr>
            <w:r>
              <w:rPr>
                <w:sz w:val="21"/>
              </w:rPr>
              <w:t>其中：在管项目总额</w:t>
            </w:r>
          </w:p>
        </w:tc>
        <w:tc>
          <w:tcPr>
            <w:tcW w:w="1467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69" w:type="dxa"/>
          </w:tcPr>
          <w:p>
            <w:pPr>
              <w:pStyle w:val="8"/>
              <w:ind w:left="527"/>
              <w:rPr>
                <w:sz w:val="21"/>
              </w:rPr>
            </w:pPr>
            <w:r>
              <w:rPr>
                <w:sz w:val="21"/>
              </w:rPr>
              <w:t>本期新增项目个数</w:t>
            </w:r>
          </w:p>
        </w:tc>
        <w:tc>
          <w:tcPr>
            <w:tcW w:w="149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95" w:type="dxa"/>
          </w:tcPr>
          <w:p>
            <w:pPr>
              <w:pStyle w:val="8"/>
              <w:ind w:left="527"/>
              <w:rPr>
                <w:sz w:val="21"/>
              </w:rPr>
            </w:pPr>
            <w:r>
              <w:rPr>
                <w:sz w:val="21"/>
              </w:rPr>
              <w:t>本期新增项目总额</w:t>
            </w:r>
          </w:p>
        </w:tc>
        <w:tc>
          <w:tcPr>
            <w:tcW w:w="1467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69" w:type="dxa"/>
          </w:tcPr>
          <w:p>
            <w:pPr>
              <w:pStyle w:val="8"/>
              <w:ind w:left="527"/>
              <w:rPr>
                <w:sz w:val="21"/>
              </w:rPr>
            </w:pPr>
            <w:r>
              <w:rPr>
                <w:sz w:val="21"/>
              </w:rPr>
              <w:t>已退出项目个数</w:t>
            </w:r>
          </w:p>
        </w:tc>
        <w:tc>
          <w:tcPr>
            <w:tcW w:w="149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95" w:type="dxa"/>
          </w:tcPr>
          <w:p>
            <w:pPr>
              <w:pStyle w:val="8"/>
              <w:ind w:left="527"/>
              <w:rPr>
                <w:sz w:val="21"/>
              </w:rPr>
            </w:pPr>
            <w:r>
              <w:rPr>
                <w:sz w:val="21"/>
              </w:rPr>
              <w:t>已退出项目总额</w:t>
            </w:r>
          </w:p>
        </w:tc>
        <w:tc>
          <w:tcPr>
            <w:tcW w:w="1467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69" w:type="dxa"/>
          </w:tcPr>
          <w:p>
            <w:pPr>
              <w:pStyle w:val="8"/>
              <w:ind w:left="527"/>
              <w:rPr>
                <w:sz w:val="21"/>
              </w:rPr>
            </w:pPr>
            <w:r>
              <w:rPr>
                <w:sz w:val="21"/>
              </w:rPr>
              <w:t>已上市项目个数</w:t>
            </w:r>
          </w:p>
        </w:tc>
        <w:tc>
          <w:tcPr>
            <w:tcW w:w="149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95" w:type="dxa"/>
          </w:tcPr>
          <w:p>
            <w:pPr>
              <w:pStyle w:val="8"/>
              <w:ind w:left="527"/>
              <w:rPr>
                <w:sz w:val="21"/>
              </w:rPr>
            </w:pPr>
            <w:r>
              <w:rPr>
                <w:sz w:val="21"/>
              </w:rPr>
              <w:t>已上市项目总额</w:t>
            </w:r>
          </w:p>
        </w:tc>
        <w:tc>
          <w:tcPr>
            <w:tcW w:w="1467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69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期末累计总投资基金个数</w:t>
            </w:r>
          </w:p>
        </w:tc>
        <w:tc>
          <w:tcPr>
            <w:tcW w:w="149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95" w:type="dxa"/>
          </w:tcPr>
          <w:p>
            <w:pPr>
              <w:pStyle w:val="8"/>
              <w:ind w:right="266"/>
              <w:jc w:val="right"/>
              <w:rPr>
                <w:sz w:val="21"/>
              </w:rPr>
            </w:pPr>
            <w:r>
              <w:rPr>
                <w:sz w:val="21"/>
              </w:rPr>
              <w:t>期末累计总投资基金总额</w:t>
            </w:r>
          </w:p>
        </w:tc>
        <w:tc>
          <w:tcPr>
            <w:tcW w:w="1467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3"/>
        <w:spacing w:before="12"/>
        <w:rPr>
          <w:rFonts w:ascii="Microsoft JhengHei"/>
          <w:b/>
          <w:sz w:val="18"/>
        </w:rPr>
      </w:pPr>
    </w:p>
    <w:p>
      <w:pPr>
        <w:pStyle w:val="7"/>
        <w:numPr>
          <w:ilvl w:val="1"/>
          <w:numId w:val="2"/>
        </w:numPr>
        <w:tabs>
          <w:tab w:val="left" w:pos="645"/>
        </w:tabs>
        <w:spacing w:before="0" w:after="51" w:line="240" w:lineRule="auto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持有项目情况表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844"/>
        <w:gridCol w:w="1558"/>
        <w:gridCol w:w="1877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gridSpan w:val="5"/>
          </w:tcPr>
          <w:p>
            <w:pPr>
              <w:pStyle w:val="8"/>
              <w:ind w:left="2875" w:right="2866"/>
              <w:jc w:val="center"/>
              <w:rPr>
                <w:sz w:val="21"/>
              </w:rPr>
            </w:pPr>
            <w:r>
              <w:rPr>
                <w:sz w:val="21"/>
              </w:rPr>
              <w:t>投资项目基本信息表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5153" w:type="dxa"/>
            <w:gridSpan w:val="3"/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北京神舟智汇科技有限公司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投资行业</w:t>
            </w:r>
          </w:p>
        </w:tc>
        <w:tc>
          <w:tcPr>
            <w:tcW w:w="5153" w:type="dxa"/>
            <w:gridSpan w:val="3"/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信息技术服务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5153" w:type="dxa"/>
            <w:gridSpan w:val="3"/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张骏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设立日期</w:t>
            </w:r>
          </w:p>
        </w:tc>
        <w:tc>
          <w:tcPr>
            <w:tcW w:w="5153" w:type="dxa"/>
            <w:gridSpan w:val="3"/>
          </w:tcPr>
          <w:p>
            <w:pPr>
              <w:pStyle w:val="8"/>
              <w:spacing w:before="52"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2002-05-16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3369" w:type="dxa"/>
            <w:gridSpan w:val="2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主营业务</w:t>
            </w:r>
          </w:p>
        </w:tc>
        <w:tc>
          <w:tcPr>
            <w:tcW w:w="5153" w:type="dxa"/>
            <w:gridSpan w:val="3"/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技术开发、技术咨询、技术服务；计算机技术培训</w:t>
            </w:r>
          </w:p>
          <w:p>
            <w:pPr>
              <w:pStyle w:val="8"/>
              <w:spacing w:before="2" w:line="310" w:lineRule="atLeast"/>
              <w:ind w:left="107" w:right="204"/>
              <w:jc w:val="both"/>
              <w:rPr>
                <w:sz w:val="21"/>
              </w:rPr>
            </w:pPr>
            <w:r>
              <w:rPr>
                <w:sz w:val="21"/>
              </w:rPr>
              <w:t>（不得面向全国招生）；货物进出口、技术进出口、代理进出口；应用软件服务；计算机系统服务；软件开发；销售计算机、软件及辅助设备；生产模拟训练设备、电子产品（仅限分支机构）；电脑动画设计； 广播电视节目制作。（企业依法自主选择经营项目， 开展经营活动；广播电视节目制作以及依法须经批准的项目，经相关部门批准后依批准的内容开展经营活动；不得从事本市产业政策禁止和限制类项目的经营活动。）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北京市海淀区昆明湖南路 51 号 B 座一层 105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注册资本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3,410.8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是否并购类项目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是否属于中小企业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是否属于高新技术企业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是否享受国家财税政策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投资阶段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扩张期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2017-12-25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投资额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投资占股比例（%）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是否退出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退出额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退出方式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退出日期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tcBorders>
              <w:right w:val="dashed" w:color="000000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5153" w:type="dxa"/>
            <w:gridSpan w:val="3"/>
            <w:tcBorders>
              <w:left w:val="dashed" w:color="000000" w:sz="4" w:space="0"/>
            </w:tcBorders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gridSpan w:val="5"/>
          </w:tcPr>
          <w:p>
            <w:pPr>
              <w:pStyle w:val="8"/>
              <w:ind w:left="2875" w:right="2866"/>
              <w:jc w:val="center"/>
              <w:rPr>
                <w:sz w:val="21"/>
              </w:rPr>
            </w:pPr>
            <w:r>
              <w:rPr>
                <w:sz w:val="21"/>
              </w:rPr>
              <w:t>投资项目追加投资表（如有）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5" w:type="dxa"/>
          </w:tcPr>
          <w:p>
            <w:pPr>
              <w:pStyle w:val="8"/>
              <w:ind w:left="322" w:right="312"/>
              <w:jc w:val="center"/>
              <w:rPr>
                <w:sz w:val="21"/>
              </w:rPr>
            </w:pPr>
            <w:r>
              <w:rPr>
                <w:sz w:val="21"/>
              </w:rPr>
              <w:t>投资阶段</w:t>
            </w:r>
          </w:p>
        </w:tc>
        <w:tc>
          <w:tcPr>
            <w:tcW w:w="3402" w:type="dxa"/>
            <w:gridSpan w:val="2"/>
          </w:tcPr>
          <w:p>
            <w:pPr>
              <w:pStyle w:val="8"/>
              <w:ind w:left="650"/>
              <w:rPr>
                <w:sz w:val="21"/>
              </w:rPr>
            </w:pPr>
            <w:r>
              <w:rPr>
                <w:sz w:val="21"/>
              </w:rPr>
              <w:t>系该项目的第几轮融资</w:t>
            </w:r>
          </w:p>
        </w:tc>
        <w:tc>
          <w:tcPr>
            <w:tcW w:w="1877" w:type="dxa"/>
          </w:tcPr>
          <w:p>
            <w:pPr>
              <w:pStyle w:val="8"/>
              <w:ind w:left="288" w:right="278"/>
              <w:jc w:val="center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1718" w:type="dxa"/>
          </w:tcPr>
          <w:p>
            <w:pPr>
              <w:pStyle w:val="8"/>
              <w:ind w:left="156" w:right="146"/>
              <w:jc w:val="center"/>
              <w:rPr>
                <w:sz w:val="21"/>
              </w:rPr>
            </w:pPr>
            <w:r>
              <w:rPr>
                <w:sz w:val="21"/>
              </w:rPr>
              <w:t>投资金额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gridSpan w:val="5"/>
          </w:tcPr>
          <w:p>
            <w:pPr>
              <w:pStyle w:val="8"/>
              <w:ind w:left="2875" w:right="2866"/>
              <w:jc w:val="center"/>
              <w:rPr>
                <w:sz w:val="21"/>
              </w:rPr>
            </w:pPr>
            <w:r>
              <w:rPr>
                <w:sz w:val="21"/>
              </w:rPr>
              <w:t>投资项目退出投资表（如有）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5" w:type="dxa"/>
          </w:tcPr>
          <w:p>
            <w:pPr>
              <w:pStyle w:val="8"/>
              <w:ind w:left="322" w:right="312"/>
              <w:jc w:val="center"/>
              <w:rPr>
                <w:sz w:val="21"/>
              </w:rPr>
            </w:pPr>
            <w:r>
              <w:rPr>
                <w:sz w:val="21"/>
              </w:rPr>
              <w:t>退出方式</w:t>
            </w:r>
          </w:p>
        </w:tc>
        <w:tc>
          <w:tcPr>
            <w:tcW w:w="3402" w:type="dxa"/>
            <w:gridSpan w:val="2"/>
          </w:tcPr>
          <w:p>
            <w:pPr>
              <w:pStyle w:val="8"/>
              <w:ind w:left="650"/>
              <w:rPr>
                <w:sz w:val="21"/>
              </w:rPr>
            </w:pPr>
            <w:r>
              <w:rPr>
                <w:sz w:val="21"/>
              </w:rPr>
              <w:t>系该项目的第几次退出</w:t>
            </w:r>
          </w:p>
        </w:tc>
        <w:tc>
          <w:tcPr>
            <w:tcW w:w="1877" w:type="dxa"/>
          </w:tcPr>
          <w:p>
            <w:pPr>
              <w:pStyle w:val="8"/>
              <w:ind w:left="288" w:right="278"/>
              <w:jc w:val="center"/>
              <w:rPr>
                <w:sz w:val="21"/>
              </w:rPr>
            </w:pPr>
            <w:r>
              <w:rPr>
                <w:sz w:val="21"/>
              </w:rPr>
              <w:t>退出日期</w:t>
            </w:r>
          </w:p>
        </w:tc>
        <w:tc>
          <w:tcPr>
            <w:tcW w:w="1718" w:type="dxa"/>
          </w:tcPr>
          <w:p>
            <w:pPr>
              <w:pStyle w:val="8"/>
              <w:ind w:left="156" w:right="146"/>
              <w:jc w:val="center"/>
              <w:rPr>
                <w:sz w:val="21"/>
              </w:rPr>
            </w:pPr>
            <w:r>
              <w:rPr>
                <w:sz w:val="21"/>
              </w:rPr>
              <w:t>退出额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2" w:type="dxa"/>
            <w:gridSpan w:val="5"/>
          </w:tcPr>
          <w:p>
            <w:pPr>
              <w:pStyle w:val="8"/>
              <w:ind w:left="2875" w:right="2866"/>
              <w:jc w:val="center"/>
              <w:rPr>
                <w:sz w:val="21"/>
              </w:rPr>
            </w:pPr>
            <w:r>
              <w:rPr>
                <w:sz w:val="21"/>
              </w:rPr>
              <w:t>项目股权结构情况表（选填）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5" w:type="dxa"/>
          </w:tcPr>
          <w:p>
            <w:pPr>
              <w:pStyle w:val="8"/>
              <w:spacing w:before="179"/>
              <w:ind w:left="322" w:right="31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402" w:type="dxa"/>
            <w:gridSpan w:val="2"/>
          </w:tcPr>
          <w:p>
            <w:pPr>
              <w:pStyle w:val="8"/>
              <w:ind w:left="108" w:right="-29"/>
              <w:rPr>
                <w:sz w:val="21"/>
              </w:rPr>
            </w:pPr>
            <w:r>
              <w:rPr>
                <w:sz w:val="21"/>
              </w:rPr>
              <w:t>主要股东姓名/名称（</w:t>
            </w:r>
            <w:r>
              <w:rPr>
                <w:spacing w:val="-18"/>
                <w:sz w:val="21"/>
              </w:rPr>
              <w:t xml:space="preserve">持股 </w:t>
            </w:r>
            <w:r>
              <w:rPr>
                <w:sz w:val="21"/>
              </w:rPr>
              <w:t>5%以上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1877" w:type="dxa"/>
          </w:tcPr>
          <w:p>
            <w:pPr>
              <w:pStyle w:val="8"/>
              <w:spacing w:before="179"/>
              <w:ind w:left="288" w:right="278"/>
              <w:jc w:val="center"/>
              <w:rPr>
                <w:sz w:val="21"/>
              </w:rPr>
            </w:pPr>
            <w:r>
              <w:rPr>
                <w:sz w:val="21"/>
              </w:rPr>
              <w:t>持股数（股）</w:t>
            </w:r>
          </w:p>
        </w:tc>
        <w:tc>
          <w:tcPr>
            <w:tcW w:w="1718" w:type="dxa"/>
          </w:tcPr>
          <w:p>
            <w:pPr>
              <w:pStyle w:val="8"/>
              <w:spacing w:before="179"/>
              <w:ind w:left="156" w:right="146"/>
              <w:jc w:val="center"/>
              <w:rPr>
                <w:sz w:val="21"/>
              </w:rPr>
            </w:pPr>
            <w:r>
              <w:rPr>
                <w:sz w:val="21"/>
              </w:rPr>
              <w:t>持股比例（%）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3" w:type="default"/>
          <w:pgSz w:w="11910" w:h="16840"/>
          <w:pgMar w:top="1420" w:right="1540" w:bottom="1300" w:left="1580" w:header="0" w:footer="1118" w:gutter="0"/>
        </w:sectPr>
      </w:pPr>
    </w:p>
    <w:p>
      <w:pPr>
        <w:pStyle w:val="7"/>
        <w:numPr>
          <w:ilvl w:val="1"/>
          <w:numId w:val="2"/>
        </w:numPr>
        <w:tabs>
          <w:tab w:val="left" w:pos="645"/>
        </w:tabs>
        <w:spacing w:before="0" w:after="50" w:line="360" w:lineRule="exact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所投基金情况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093"/>
        <w:gridCol w:w="1133"/>
        <w:gridCol w:w="1137"/>
        <w:gridCol w:w="1241"/>
        <w:gridCol w:w="1553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1" w:type="dxa"/>
          </w:tcPr>
          <w:p>
            <w:pPr>
              <w:pStyle w:val="8"/>
              <w:spacing w:before="179"/>
              <w:ind w:left="290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093" w:type="dxa"/>
          </w:tcPr>
          <w:p>
            <w:pPr>
              <w:pStyle w:val="8"/>
              <w:spacing w:before="179"/>
              <w:ind w:left="126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1133" w:type="dxa"/>
          </w:tcPr>
          <w:p>
            <w:pPr>
              <w:pStyle w:val="8"/>
              <w:spacing w:before="179"/>
              <w:ind w:left="146"/>
              <w:rPr>
                <w:sz w:val="21"/>
              </w:rPr>
            </w:pPr>
            <w:r>
              <w:rPr>
                <w:sz w:val="21"/>
              </w:rPr>
              <w:t>是否备案</w:t>
            </w:r>
          </w:p>
        </w:tc>
        <w:tc>
          <w:tcPr>
            <w:tcW w:w="1137" w:type="dxa"/>
          </w:tcPr>
          <w:p>
            <w:pPr>
              <w:pStyle w:val="8"/>
              <w:ind w:left="148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  <w:p>
            <w:pPr>
              <w:pStyle w:val="8"/>
              <w:spacing w:before="43"/>
              <w:ind w:left="148"/>
              <w:rPr>
                <w:sz w:val="21"/>
              </w:rPr>
            </w:pPr>
            <w:r>
              <w:rPr>
                <w:sz w:val="21"/>
              </w:rPr>
              <w:t>（如有）</w:t>
            </w:r>
          </w:p>
        </w:tc>
        <w:tc>
          <w:tcPr>
            <w:tcW w:w="1241" w:type="dxa"/>
          </w:tcPr>
          <w:p>
            <w:pPr>
              <w:pStyle w:val="8"/>
              <w:spacing w:before="179"/>
              <w:ind w:left="200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1553" w:type="dxa"/>
          </w:tcPr>
          <w:p>
            <w:pPr>
              <w:pStyle w:val="8"/>
              <w:ind w:left="126" w:right="116"/>
              <w:jc w:val="center"/>
              <w:rPr>
                <w:sz w:val="21"/>
              </w:rPr>
            </w:pPr>
            <w:r>
              <w:rPr>
                <w:sz w:val="21"/>
              </w:rPr>
              <w:t>投资认缴资本</w:t>
            </w:r>
          </w:p>
          <w:p>
            <w:pPr>
              <w:pStyle w:val="8"/>
              <w:spacing w:before="43"/>
              <w:ind w:left="126" w:right="116"/>
              <w:jc w:val="center"/>
              <w:rPr>
                <w:sz w:val="21"/>
              </w:rPr>
            </w:pPr>
            <w:r>
              <w:rPr>
                <w:sz w:val="21"/>
              </w:rPr>
              <w:t>总额</w:t>
            </w:r>
          </w:p>
        </w:tc>
        <w:tc>
          <w:tcPr>
            <w:tcW w:w="1364" w:type="dxa"/>
          </w:tcPr>
          <w:p>
            <w:pPr>
              <w:pStyle w:val="8"/>
              <w:spacing w:before="179"/>
              <w:ind w:left="156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3、 主要财务指标、基金费用及利润分配情况</w:t>
      </w:r>
    </w:p>
    <w:p>
      <w:pPr>
        <w:pStyle w:val="3"/>
        <w:spacing w:before="18"/>
        <w:rPr>
          <w:rFonts w:ascii="Microsoft JhengHei"/>
          <w:b/>
          <w:sz w:val="10"/>
        </w:rPr>
      </w:pPr>
    </w:p>
    <w:p>
      <w:pPr>
        <w:pStyle w:val="7"/>
        <w:numPr>
          <w:ilvl w:val="1"/>
          <w:numId w:val="3"/>
        </w:numPr>
        <w:tabs>
          <w:tab w:val="left" w:pos="645"/>
        </w:tabs>
        <w:spacing w:before="0" w:after="50" w:line="240" w:lineRule="auto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主要会计数据和财务指标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1890"/>
        <w:gridCol w:w="1860"/>
        <w:gridCol w:w="1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9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期间数据和指标</w:t>
            </w:r>
          </w:p>
        </w:tc>
        <w:tc>
          <w:tcPr>
            <w:tcW w:w="1890" w:type="dxa"/>
          </w:tcPr>
          <w:p>
            <w:pPr>
              <w:pStyle w:val="8"/>
              <w:ind w:left="603"/>
              <w:rPr>
                <w:sz w:val="21"/>
              </w:rPr>
            </w:pPr>
            <w:r>
              <w:rPr>
                <w:sz w:val="21"/>
              </w:rPr>
              <w:t>2018 年</w:t>
            </w:r>
          </w:p>
        </w:tc>
        <w:tc>
          <w:tcPr>
            <w:tcW w:w="1860" w:type="dxa"/>
          </w:tcPr>
          <w:p>
            <w:pPr>
              <w:pStyle w:val="8"/>
              <w:ind w:left="22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1877" w:type="dxa"/>
          </w:tcPr>
          <w:p>
            <w:pPr>
              <w:pStyle w:val="8"/>
              <w:ind w:left="22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9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本期已实现收益</w:t>
            </w:r>
          </w:p>
        </w:tc>
        <w:tc>
          <w:tcPr>
            <w:tcW w:w="1890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17.422</w:t>
            </w:r>
          </w:p>
        </w:tc>
        <w:tc>
          <w:tcPr>
            <w:tcW w:w="186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9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本期利润</w:t>
            </w:r>
          </w:p>
        </w:tc>
        <w:tc>
          <w:tcPr>
            <w:tcW w:w="1890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6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9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期末数据和指标</w:t>
            </w:r>
          </w:p>
        </w:tc>
        <w:tc>
          <w:tcPr>
            <w:tcW w:w="1890" w:type="dxa"/>
          </w:tcPr>
          <w:p>
            <w:pPr>
              <w:pStyle w:val="8"/>
              <w:ind w:left="498"/>
              <w:rPr>
                <w:sz w:val="21"/>
              </w:rPr>
            </w:pPr>
            <w:r>
              <w:rPr>
                <w:sz w:val="21"/>
              </w:rPr>
              <w:t>2018 年末</w:t>
            </w:r>
          </w:p>
        </w:tc>
        <w:tc>
          <w:tcPr>
            <w:tcW w:w="1860" w:type="dxa"/>
          </w:tcPr>
          <w:p>
            <w:pPr>
              <w:pStyle w:val="8"/>
              <w:ind w:left="805" w:right="585"/>
              <w:jc w:val="center"/>
              <w:rPr>
                <w:sz w:val="21"/>
              </w:rPr>
            </w:pPr>
            <w:r>
              <w:rPr>
                <w:sz w:val="21"/>
              </w:rPr>
              <w:t>年末</w:t>
            </w:r>
          </w:p>
        </w:tc>
        <w:tc>
          <w:tcPr>
            <w:tcW w:w="1877" w:type="dxa"/>
          </w:tcPr>
          <w:p>
            <w:pPr>
              <w:pStyle w:val="8"/>
              <w:ind w:left="288" w:right="68"/>
              <w:jc w:val="center"/>
              <w:rPr>
                <w:sz w:val="21"/>
              </w:rPr>
            </w:pPr>
            <w:r>
              <w:rPr>
                <w:sz w:val="21"/>
              </w:rPr>
              <w:t>年末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9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期末可供分配利润</w:t>
            </w:r>
          </w:p>
        </w:tc>
        <w:tc>
          <w:tcPr>
            <w:tcW w:w="1890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6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9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期末基金净资产</w:t>
            </w:r>
          </w:p>
        </w:tc>
        <w:tc>
          <w:tcPr>
            <w:tcW w:w="1890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732.5779</w:t>
            </w:r>
          </w:p>
        </w:tc>
        <w:tc>
          <w:tcPr>
            <w:tcW w:w="186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12"/>
        <w:rPr>
          <w:rFonts w:ascii="Microsoft JhengHei"/>
          <w:b/>
          <w:sz w:val="18"/>
        </w:rPr>
      </w:pPr>
    </w:p>
    <w:p>
      <w:pPr>
        <w:pStyle w:val="7"/>
        <w:numPr>
          <w:ilvl w:val="1"/>
          <w:numId w:val="3"/>
        </w:numPr>
        <w:tabs>
          <w:tab w:val="left" w:pos="645"/>
        </w:tabs>
        <w:spacing w:before="0" w:after="51" w:line="240" w:lineRule="auto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基金费用明细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4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841" w:type="dxa"/>
          </w:tcPr>
          <w:p>
            <w:pPr>
              <w:pStyle w:val="8"/>
              <w:ind w:left="1190" w:right="1180"/>
              <w:jc w:val="center"/>
              <w:rPr>
                <w:sz w:val="21"/>
              </w:rPr>
            </w:pPr>
            <w:r>
              <w:rPr>
                <w:sz w:val="21"/>
              </w:rPr>
              <w:t>当期</w:t>
            </w:r>
          </w:p>
        </w:tc>
        <w:tc>
          <w:tcPr>
            <w:tcW w:w="2841" w:type="dxa"/>
          </w:tcPr>
          <w:p>
            <w:pPr>
              <w:pStyle w:val="8"/>
              <w:ind w:left="895"/>
              <w:rPr>
                <w:sz w:val="21"/>
              </w:rPr>
            </w:pPr>
            <w:r>
              <w:rPr>
                <w:sz w:val="21"/>
              </w:rPr>
              <w:t>自设立以来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4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管理费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10.6555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13.422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4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托管费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4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业绩报酬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4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外包服务费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840" w:type="dxa"/>
          </w:tcPr>
          <w:p>
            <w:pPr>
              <w:pStyle w:val="8"/>
              <w:spacing w:line="278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其他（</w:t>
            </w:r>
            <w:r>
              <w:rPr>
                <w:spacing w:val="-2"/>
                <w:sz w:val="21"/>
              </w:rPr>
              <w:t>如配售费用、咨询费、</w:t>
            </w:r>
            <w:r>
              <w:rPr>
                <w:sz w:val="21"/>
              </w:rPr>
              <w:t>自愿放弃的费用金额、未完 成交易费等，如有可手动添</w:t>
            </w:r>
          </w:p>
          <w:p>
            <w:pPr>
              <w:pStyle w:val="8"/>
              <w:spacing w:before="0"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加）</w:t>
            </w:r>
          </w:p>
        </w:tc>
        <w:tc>
          <w:tcPr>
            <w:tcW w:w="2841" w:type="dxa"/>
          </w:tcPr>
          <w:p>
            <w:pPr>
              <w:pStyle w:val="8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841" w:type="dxa"/>
          </w:tcPr>
          <w:p>
            <w:pPr>
              <w:pStyle w:val="8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4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4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4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40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4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41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40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费用合计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12.6555</w:t>
            </w:r>
          </w:p>
        </w:tc>
        <w:tc>
          <w:tcPr>
            <w:tcW w:w="284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17.422</w:t>
            </w:r>
          </w:p>
        </w:tc>
      </w:tr>
    </w:tbl>
    <w:p>
      <w:pPr>
        <w:pStyle w:val="3"/>
        <w:spacing w:before="12"/>
        <w:rPr>
          <w:rFonts w:ascii="Microsoft JhengHei"/>
          <w:b/>
          <w:sz w:val="18"/>
        </w:rPr>
      </w:pPr>
    </w:p>
    <w:p>
      <w:pPr>
        <w:pStyle w:val="7"/>
        <w:numPr>
          <w:ilvl w:val="1"/>
          <w:numId w:val="3"/>
        </w:numPr>
        <w:tabs>
          <w:tab w:val="left" w:pos="645"/>
        </w:tabs>
        <w:spacing w:before="0" w:after="51" w:line="240" w:lineRule="auto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过去三年基金的利润分配情况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956"/>
        <w:gridCol w:w="1718"/>
        <w:gridCol w:w="1732"/>
        <w:gridCol w:w="1375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pStyle w:val="8"/>
              <w:spacing w:before="179"/>
              <w:ind w:left="213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956" w:type="dxa"/>
          </w:tcPr>
          <w:p>
            <w:pPr>
              <w:pStyle w:val="8"/>
              <w:spacing w:before="179"/>
              <w:ind w:left="347"/>
              <w:rPr>
                <w:sz w:val="21"/>
              </w:rPr>
            </w:pPr>
            <w:r>
              <w:rPr>
                <w:sz w:val="21"/>
              </w:rPr>
              <w:t>基金分红次数</w:t>
            </w:r>
          </w:p>
        </w:tc>
        <w:tc>
          <w:tcPr>
            <w:tcW w:w="1718" w:type="dxa"/>
          </w:tcPr>
          <w:p>
            <w:pPr>
              <w:pStyle w:val="8"/>
              <w:spacing w:before="179"/>
              <w:ind w:left="229"/>
              <w:rPr>
                <w:sz w:val="21"/>
              </w:rPr>
            </w:pPr>
            <w:r>
              <w:rPr>
                <w:sz w:val="21"/>
              </w:rPr>
              <w:t>现金分红总额</w:t>
            </w:r>
          </w:p>
        </w:tc>
        <w:tc>
          <w:tcPr>
            <w:tcW w:w="1732" w:type="dxa"/>
          </w:tcPr>
          <w:p>
            <w:pPr>
              <w:pStyle w:val="8"/>
              <w:spacing w:before="179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红利转投资总额</w:t>
            </w:r>
          </w:p>
        </w:tc>
        <w:tc>
          <w:tcPr>
            <w:tcW w:w="1375" w:type="dxa"/>
          </w:tcPr>
          <w:p>
            <w:pPr>
              <w:pStyle w:val="8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年度利润分</w:t>
            </w:r>
          </w:p>
          <w:p>
            <w:pPr>
              <w:pStyle w:val="8"/>
              <w:spacing w:before="43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配合计</w:t>
            </w:r>
          </w:p>
        </w:tc>
        <w:tc>
          <w:tcPr>
            <w:tcW w:w="895" w:type="dxa"/>
          </w:tcPr>
          <w:p>
            <w:pPr>
              <w:pStyle w:val="8"/>
              <w:spacing w:before="179"/>
              <w:ind w:left="237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6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2018</w:t>
            </w:r>
          </w:p>
        </w:tc>
        <w:tc>
          <w:tcPr>
            <w:tcW w:w="1956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718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732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75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9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6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4、 基金投资者变动情况</w:t>
      </w:r>
    </w:p>
    <w:p>
      <w:pPr>
        <w:pStyle w:val="3"/>
        <w:spacing w:before="4"/>
        <w:rPr>
          <w:rFonts w:ascii="Microsoft JhengHei"/>
          <w:b/>
          <w:sz w:val="9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1449"/>
        <w:gridCol w:w="2826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03" w:type="dxa"/>
          </w:tcPr>
          <w:p>
            <w:pPr>
              <w:pStyle w:val="8"/>
              <w:spacing w:before="7"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报告期期初投资者数量</w:t>
            </w:r>
          </w:p>
        </w:tc>
        <w:tc>
          <w:tcPr>
            <w:tcW w:w="1449" w:type="dxa"/>
          </w:tcPr>
          <w:p>
            <w:pPr>
              <w:pStyle w:val="8"/>
              <w:spacing w:before="37" w:line="224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26" w:type="dxa"/>
          </w:tcPr>
          <w:p>
            <w:pPr>
              <w:pStyle w:val="8"/>
              <w:spacing w:before="3" w:line="258" w:lineRule="exact"/>
              <w:ind w:left="108"/>
              <w:rPr>
                <w:sz w:val="21"/>
              </w:rPr>
            </w:pPr>
            <w:r>
              <w:rPr>
                <w:sz w:val="21"/>
              </w:rPr>
              <w:t>报告期期初投资者实缴规模</w:t>
            </w:r>
          </w:p>
        </w:tc>
        <w:tc>
          <w:tcPr>
            <w:tcW w:w="1444" w:type="dxa"/>
          </w:tcPr>
          <w:p>
            <w:pPr>
              <w:pStyle w:val="8"/>
              <w:spacing w:before="32" w:line="228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03" w:type="dxa"/>
          </w:tcPr>
          <w:p>
            <w:pPr>
              <w:pStyle w:val="8"/>
              <w:spacing w:before="2" w:line="270" w:lineRule="atLeast"/>
              <w:ind w:left="108" w:right="164"/>
              <w:rPr>
                <w:sz w:val="21"/>
              </w:rPr>
            </w:pPr>
            <w:r>
              <w:rPr>
                <w:sz w:val="21"/>
              </w:rPr>
              <w:t>减：报告期期间投资者减少数量</w:t>
            </w:r>
          </w:p>
        </w:tc>
        <w:tc>
          <w:tcPr>
            <w:tcW w:w="1449" w:type="dxa"/>
          </w:tcPr>
          <w:p>
            <w:pPr>
              <w:pStyle w:val="8"/>
              <w:spacing w:before="169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826" w:type="dxa"/>
          </w:tcPr>
          <w:p>
            <w:pPr>
              <w:pStyle w:val="8"/>
              <w:spacing w:before="2" w:line="270" w:lineRule="atLeast"/>
              <w:ind w:left="108" w:right="187"/>
              <w:rPr>
                <w:sz w:val="21"/>
              </w:rPr>
            </w:pPr>
            <w:r>
              <w:rPr>
                <w:sz w:val="21"/>
              </w:rPr>
              <w:t>减：报告期期间基金减少规模</w:t>
            </w:r>
          </w:p>
        </w:tc>
        <w:tc>
          <w:tcPr>
            <w:tcW w:w="1444" w:type="dxa"/>
          </w:tcPr>
          <w:p>
            <w:pPr>
              <w:pStyle w:val="8"/>
              <w:spacing w:before="33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spacing w:after="0"/>
        <w:jc w:val="right"/>
        <w:rPr>
          <w:sz w:val="21"/>
        </w:rPr>
        <w:sectPr>
          <w:pgSz w:w="11910" w:h="16840"/>
          <w:pgMar w:top="1480" w:right="1540" w:bottom="1300" w:left="1580" w:header="0" w:footer="1118" w:gutter="0"/>
        </w:sect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1449"/>
        <w:gridCol w:w="2826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03" w:type="dxa"/>
          </w:tcPr>
          <w:p>
            <w:pPr>
              <w:pStyle w:val="8"/>
              <w:spacing w:before="2" w:line="270" w:lineRule="atLeast"/>
              <w:ind w:left="108" w:right="164"/>
              <w:rPr>
                <w:sz w:val="21"/>
              </w:rPr>
            </w:pPr>
            <w:r>
              <w:rPr>
                <w:sz w:val="21"/>
              </w:rPr>
              <w:t>加：报告期期间投资者新增数量</w:t>
            </w:r>
          </w:p>
        </w:tc>
        <w:tc>
          <w:tcPr>
            <w:tcW w:w="1449" w:type="dxa"/>
          </w:tcPr>
          <w:p>
            <w:pPr>
              <w:pStyle w:val="8"/>
              <w:spacing w:before="169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26" w:type="dxa"/>
          </w:tcPr>
          <w:p>
            <w:pPr>
              <w:pStyle w:val="8"/>
              <w:spacing w:before="2" w:line="270" w:lineRule="atLeast"/>
              <w:ind w:left="108" w:right="187"/>
              <w:rPr>
                <w:sz w:val="21"/>
              </w:rPr>
            </w:pPr>
            <w:r>
              <w:rPr>
                <w:sz w:val="21"/>
              </w:rPr>
              <w:t>加：报告期期间基金新增规模</w:t>
            </w:r>
          </w:p>
        </w:tc>
        <w:tc>
          <w:tcPr>
            <w:tcW w:w="1444" w:type="dxa"/>
          </w:tcPr>
          <w:p>
            <w:pPr>
              <w:pStyle w:val="8"/>
              <w:spacing w:before="33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03" w:type="dxa"/>
          </w:tcPr>
          <w:p>
            <w:pPr>
              <w:pStyle w:val="8"/>
              <w:spacing w:before="3" w:line="249" w:lineRule="exact"/>
              <w:ind w:left="108"/>
              <w:rPr>
                <w:sz w:val="21"/>
              </w:rPr>
            </w:pPr>
            <w:r>
              <w:rPr>
                <w:sz w:val="21"/>
              </w:rPr>
              <w:t>报告期期末投资者总数</w:t>
            </w:r>
          </w:p>
        </w:tc>
        <w:tc>
          <w:tcPr>
            <w:tcW w:w="1449" w:type="dxa"/>
          </w:tcPr>
          <w:p>
            <w:pPr>
              <w:pStyle w:val="8"/>
              <w:spacing w:before="33" w:line="220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26" w:type="dxa"/>
          </w:tcPr>
          <w:p>
            <w:pPr>
              <w:pStyle w:val="8"/>
              <w:spacing w:before="3" w:line="249" w:lineRule="exact"/>
              <w:ind w:left="108"/>
              <w:rPr>
                <w:sz w:val="21"/>
              </w:rPr>
            </w:pPr>
            <w:r>
              <w:rPr>
                <w:sz w:val="21"/>
              </w:rPr>
              <w:t>报告期期末投资者实缴规模</w:t>
            </w:r>
          </w:p>
        </w:tc>
        <w:tc>
          <w:tcPr>
            <w:tcW w:w="1444" w:type="dxa"/>
          </w:tcPr>
          <w:p>
            <w:pPr>
              <w:pStyle w:val="8"/>
              <w:spacing w:before="33" w:line="220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</w:tbl>
    <w:p>
      <w:pPr>
        <w:pStyle w:val="3"/>
        <w:spacing w:before="2"/>
        <w:rPr>
          <w:rFonts w:ascii="Microsoft JhengHei"/>
          <w:b/>
          <w:sz w:val="25"/>
        </w:rPr>
      </w:pPr>
    </w:p>
    <w:p>
      <w:pPr>
        <w:pStyle w:val="3"/>
        <w:spacing w:before="2" w:line="333" w:lineRule="auto"/>
        <w:ind w:left="645" w:right="370" w:hanging="425"/>
        <w:jc w:val="both"/>
      </w:pPr>
      <w:r>
        <w:rPr>
          <w:rFonts w:hint="eastAsia" w:ascii="Microsoft JhengHei" w:eastAsia="Microsoft JhengHei"/>
          <w:b/>
        </w:rPr>
        <w:t>5、 管理人报告（选填）</w:t>
      </w:r>
      <w:r>
        <w:t>（如报告期内高管及其关联基金情况、高管人员变动情况、基金运作遵规守信情况、基金投资策略和业绩表现、对宏观经济及其行业走势展望、内部</w:t>
      </w:r>
    </w:p>
    <w:p>
      <w:pPr>
        <w:pStyle w:val="3"/>
        <w:spacing w:before="94" w:after="19" w:line="417" w:lineRule="auto"/>
        <w:ind w:left="645" w:right="370"/>
        <w:jc w:val="both"/>
      </w:pPr>
      <w:r>
        <w:t>基金监察稽核工作、基金估值程序、基金运作情况、投资收益分配和损失承担情况、项目上市进展情况、关联交易等可能存在的利益冲突、关于基金负债以及潜在负债或担保的简要说明等）</w:t>
      </w:r>
    </w:p>
    <w:p>
      <w:pPr>
        <w:pStyle w:val="3"/>
        <w:ind w:left="102"/>
        <w:rPr>
          <w:sz w:val="20"/>
        </w:rPr>
      </w:pPr>
      <w:r>
        <w:rPr>
          <w:sz w:val="20"/>
        </w:rPr>
        <w:pict>
          <v:group id="_x0000_s1027" o:spid="_x0000_s1027" o:spt="203" style="height:16.6pt;width:426.6pt;" coordsize="8532,332">
            <o:lock v:ext="edit"/>
            <v:line id="_x0000_s1028" o:spid="_x0000_s1028" o:spt="20" style="position:absolute;left:5;top:10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29" o:spid="_x0000_s1029" o:spt="20" style="position:absolute;left:8527;top:10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0" o:spid="_x0000_s1030" o:spt="20" style="position:absolute;left:0;top:5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1" o:spid="_x0000_s1031" o:spt="20" style="position:absolute;left:0;top:327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rPr>
          <w:sz w:val="20"/>
        </w:rPr>
      </w:pPr>
    </w:p>
    <w:p>
      <w:pPr>
        <w:pStyle w:val="3"/>
        <w:spacing w:before="74" w:line="468" w:lineRule="exact"/>
        <w:ind w:left="645" w:right="370" w:hanging="425"/>
        <w:jc w:val="both"/>
      </w:pPr>
      <w:r>
        <w:rPr>
          <w:rFonts w:hint="eastAsia" w:ascii="Microsoft JhengHei" w:eastAsia="Microsoft JhengHei"/>
          <w:b/>
        </w:rPr>
        <w:t>6、 托管人（如有）报告</w:t>
      </w:r>
      <w:r>
        <w:t>（如报告期内本基金托管人遵规守信情况声明，托管人对报告期内本基金投资运作遵规守信、基金估值、利润分配等情况的说明，托管人对本年度报告中财务信息等内容的真实、准确和完整发表意见等）</w:t>
      </w:r>
    </w:p>
    <w:p>
      <w:pPr>
        <w:pStyle w:val="3"/>
        <w:spacing w:before="3"/>
        <w:rPr>
          <w:sz w:val="11"/>
        </w:rPr>
      </w:pPr>
      <w:r>
        <w:pict>
          <v:group id="_x0000_s1032" o:spid="_x0000_s1032" o:spt="203" style="position:absolute;left:0pt;margin-left:84.3pt;margin-top:9.15pt;height:16.6pt;width:426.6pt;mso-position-horizontal-relative:page;mso-wrap-distance-bottom:0pt;mso-wrap-distance-top:0pt;z-index:-251656192;mso-width-relative:page;mso-height-relative:page;" coordorigin="1687,184" coordsize="8532,332">
            <o:lock v:ext="edit"/>
            <v:line id="_x0000_s1033" o:spid="_x0000_s1033" o:spt="20" style="position:absolute;left:1692;top:194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4" o:spid="_x0000_s1034" o:spt="20" style="position:absolute;left:10214;top:194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5" o:spid="_x0000_s1035" o:spt="20" style="position:absolute;left:1687;top:189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6" o:spid="_x0000_s1036" o:spt="20" style="position:absolute;left:1687;top:511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topAndBottom"/>
          </v:group>
        </w:pict>
      </w:r>
    </w:p>
    <w:p>
      <w:pPr>
        <w:pStyle w:val="3"/>
        <w:rPr>
          <w:sz w:val="20"/>
        </w:rPr>
      </w:pPr>
    </w:p>
    <w:p>
      <w:pPr>
        <w:pStyle w:val="2"/>
        <w:spacing w:before="178"/>
        <w:ind w:left="220" w:firstLine="0"/>
      </w:pPr>
      <w:r>
        <w:t>7、 经审计财务报告</w:t>
      </w:r>
    </w:p>
    <w:p>
      <w:pPr>
        <w:pStyle w:val="3"/>
        <w:spacing w:before="9"/>
        <w:rPr>
          <w:rFonts w:ascii="Microsoft JhengHei"/>
          <w:b/>
          <w:sz w:val="10"/>
        </w:rPr>
      </w:pPr>
    </w:p>
    <w:p>
      <w:pPr>
        <w:pStyle w:val="3"/>
        <w:spacing w:after="19"/>
        <w:ind w:left="220"/>
      </w:pPr>
      <w:r>
        <w:t>是否有经审计财务报告：□是 √否</w:t>
      </w:r>
    </w:p>
    <w:p>
      <w:pPr>
        <w:pStyle w:val="3"/>
        <w:ind w:left="102"/>
        <w:rPr>
          <w:sz w:val="20"/>
        </w:rPr>
      </w:pPr>
      <w:r>
        <w:rPr>
          <w:sz w:val="20"/>
        </w:rPr>
        <w:pict>
          <v:group id="_x0000_s1037" o:spid="_x0000_s1037" o:spt="203" style="height:16.6pt;width:426.6pt;" coordsize="8532,332">
            <o:lock v:ext="edit"/>
            <v:line id="_x0000_s1038" o:spid="_x0000_s1038" o:spt="20" style="position:absolute;left:5;top:10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9" o:spid="_x0000_s1039" o:spt="20" style="position:absolute;left:8527;top:10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40" o:spid="_x0000_s1040" o:spt="20" style="position:absolute;left:0;top:5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41" o:spid="_x0000_s1041" o:spt="20" style="position:absolute;left:0;top:327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rPr>
          <w:sz w:val="20"/>
        </w:rPr>
      </w:pPr>
    </w:p>
    <w:p>
      <w:pPr>
        <w:pStyle w:val="2"/>
        <w:spacing w:before="169"/>
        <w:ind w:left="220" w:firstLine="0"/>
      </w:pPr>
      <w:r>
        <w:t>8、 信息披露报告</w:t>
      </w:r>
    </w:p>
    <w:p>
      <w:pPr>
        <w:pStyle w:val="3"/>
        <w:spacing w:before="9"/>
        <w:rPr>
          <w:rFonts w:ascii="Microsoft JhengHei"/>
          <w:b/>
          <w:sz w:val="10"/>
        </w:rPr>
      </w:pPr>
    </w:p>
    <w:p>
      <w:pPr>
        <w:pStyle w:val="3"/>
        <w:ind w:left="220"/>
      </w:pPr>
      <w:r>
        <w:t>信息披露报告是否经托管机构或会计师事务所复核：否</w:t>
      </w:r>
    </w:p>
    <w:p>
      <w:pPr>
        <w:pStyle w:val="3"/>
        <w:spacing w:before="4"/>
        <w:rPr>
          <w:sz w:val="22"/>
        </w:rPr>
      </w:pPr>
    </w:p>
    <w:p>
      <w:pPr>
        <w:pStyle w:val="2"/>
        <w:ind w:left="220" w:firstLine="0"/>
      </w:pPr>
      <w:bookmarkStart w:id="0" w:name="_GoBack"/>
      <w:bookmarkEnd w:id="0"/>
    </w:p>
    <w:sectPr>
      <w:pgSz w:w="11910" w:h="16840"/>
      <w:pgMar w:top="1420" w:right="1540" w:bottom="1380" w:left="1580" w:header="0" w:footer="11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w:pict>
        <v:shape id="_x0000_s2049" o:spid="_x0000_s2049" o:spt="202" type="#_x0000_t202" style="position:absolute;left:0pt;margin-left:293.35pt;margin-top:770.95pt;height:12pt;width:8.5pt;mso-position-horizontal-relative:page;mso-position-vertical-relative:page;z-index:-2529935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645" w:hanging="42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45" w:hanging="425"/>
        <w:jc w:val="left"/>
      </w:pPr>
      <w:rPr>
        <w:rFonts w:hint="default" w:ascii="Microsoft JhengHei" w:hAnsi="Microsoft JhengHei" w:eastAsia="Microsoft JhengHei" w:cs="Microsoft JhengHei"/>
        <w:b/>
        <w:bCs/>
        <w:w w:val="103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9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3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8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7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2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6" w:hanging="42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645" w:hanging="42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45" w:hanging="425"/>
        <w:jc w:val="left"/>
      </w:pPr>
      <w:rPr>
        <w:rFonts w:hint="default" w:ascii="Microsoft JhengHei" w:hAnsi="Microsoft JhengHei" w:eastAsia="Microsoft JhengHei" w:cs="Microsoft JhengHei"/>
        <w:b/>
        <w:bCs/>
        <w:w w:val="103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9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3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8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7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2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6" w:hanging="425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645" w:hanging="42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45" w:hanging="425"/>
        <w:jc w:val="left"/>
      </w:pPr>
      <w:rPr>
        <w:rFonts w:hint="default" w:ascii="Microsoft JhengHei" w:hAnsi="Microsoft JhengHei" w:eastAsia="Microsoft JhengHei" w:cs="Microsoft JhengHei"/>
        <w:b/>
        <w:bCs/>
        <w:w w:val="103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9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3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8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7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2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6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197141D"/>
    <w:rsid w:val="57284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5" w:hanging="425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51"/>
      <w:ind w:left="645" w:hanging="425"/>
    </w:pPr>
    <w:rPr>
      <w:rFonts w:ascii="Microsoft JhengHei" w:hAnsi="Microsoft JhengHei" w:eastAsia="Microsoft JhengHei" w:cs="Microsoft JhengHei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2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30"/>
    <customShpInfo spid="_x0000_s1031"/>
    <customShpInfo spid="_x0000_s1027"/>
    <customShpInfo spid="_x0000_s1033"/>
    <customShpInfo spid="_x0000_s1034"/>
    <customShpInfo spid="_x0000_s1035"/>
    <customShpInfo spid="_x0000_s1036"/>
    <customShpInfo spid="_x0000_s1032"/>
    <customShpInfo spid="_x0000_s1038"/>
    <customShpInfo spid="_x0000_s1039"/>
    <customShpInfo spid="_x0000_s1040"/>
    <customShpInfo spid="_x0000_s1041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wfy</dc:creator>
  <cp:lastModifiedBy>Pei</cp:lastModifiedBy>
  <dcterms:modified xsi:type="dcterms:W3CDTF">2021-01-25T02:44:26Z</dcterms:modified>
  <dc:title>证券投资基金信息披露报表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KSOProductBuildVer">
    <vt:lpwstr>2052-11.1.0.10314</vt:lpwstr>
  </property>
</Properties>
</file>