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szCs w:val="20"/>
        </w:rPr>
      </w:pPr>
      <w:bookmarkStart w:id="0" w:name="_GoBack"/>
      <w:r>
        <w:rPr>
          <w:rFonts w:ascii="仿宋" w:hAnsi="仿宋" w:eastAsia="仿宋" w:cs="Arial"/>
          <w:b/>
          <w:bCs/>
          <w:kern w:val="0"/>
          <w:sz w:val="28"/>
          <w:szCs w:val="28"/>
        </w:rPr>
        <w:t>第一TMT私募投资基金</w:t>
      </w:r>
      <w:r>
        <w:rPr>
          <w:rFonts w:hint="eastAsia" w:ascii="仿宋" w:hAnsi="仿宋" w:eastAsia="仿宋" w:cs="Times New Roman"/>
          <w:b/>
          <w:sz w:val="28"/>
          <w:szCs w:val="28"/>
        </w:rPr>
        <w:t>信息披露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2019</w:t>
      </w:r>
      <w:r>
        <w:rPr>
          <w:rFonts w:hint="eastAsia" w:ascii="仿宋" w:hAnsi="仿宋" w:eastAsia="仿宋" w:cs="Times New Roman"/>
          <w:b/>
          <w:sz w:val="28"/>
          <w:szCs w:val="28"/>
        </w:rPr>
        <w:t>年度报告</w:t>
      </w:r>
      <w:r>
        <w:rPr>
          <w:rFonts w:ascii="仿宋" w:hAnsi="仿宋" w:eastAsia="仿宋" w:cs="Times New Roman"/>
          <w:b/>
          <w:szCs w:val="20"/>
        </w:rPr>
        <w:br w:type="textWrapping"/>
      </w:r>
      <w:bookmarkEnd w:id="0"/>
      <w:r>
        <w:rPr>
          <w:rFonts w:hint="eastAsia" w:ascii="仿宋" w:hAnsi="仿宋" w:eastAsia="仿宋" w:cs="Times New Roman"/>
          <w:b/>
          <w:szCs w:val="20"/>
        </w:rPr>
        <w:t>（</w:t>
      </w:r>
      <w:r>
        <w:rPr>
          <w:rFonts w:ascii="仿宋" w:hAnsi="仿宋" w:eastAsia="仿宋" w:cs="Times New Roman"/>
          <w:b/>
          <w:szCs w:val="20"/>
        </w:rPr>
        <w:t>2019年01月01日-2019年12月31日</w:t>
      </w:r>
      <w:r>
        <w:rPr>
          <w:rFonts w:hint="eastAsia" w:ascii="仿宋" w:hAnsi="仿宋" w:eastAsia="仿宋" w:cs="Times New Roman"/>
          <w:b/>
          <w:szCs w:val="20"/>
        </w:rPr>
        <w:t>）</w:t>
      </w:r>
    </w:p>
    <w:p>
      <w:pPr>
        <w:jc w:val="center"/>
        <w:rPr>
          <w:rFonts w:ascii="仿宋" w:hAnsi="仿宋" w:eastAsia="仿宋" w:cs="Times New Roman"/>
          <w:b/>
          <w:szCs w:val="20"/>
        </w:rPr>
      </w:pPr>
    </w:p>
    <w:p>
      <w:pPr>
        <w:jc w:val="right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 xml:space="preserve">                  金额单位：万元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基金产品概况</w:t>
      </w:r>
    </w:p>
    <w:p>
      <w:pPr>
        <w:outlineLvl w:val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1.1 基金基本情况</w:t>
      </w: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基金名称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第一TMT私募投资基金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基金编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码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SM5123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基金类型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创业投资基金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基金注册地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基金成立日期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2017-02-07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基金到期日期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2020-02-07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认缴金额（如有）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已实缴金额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520.7060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估值方法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按成本估值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期末总资产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510.1369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期末净资产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472.5751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关键人士</w:t>
            </w:r>
            <w:r>
              <w:rPr>
                <w:rFonts w:ascii="仿宋" w:hAnsi="仿宋" w:eastAsia="仿宋" w:cs="Arial"/>
                <w:kern w:val="0"/>
                <w:szCs w:val="21"/>
              </w:rPr>
              <w:t>/投资经理/投资团队（如有）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投资者数量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pStyle w:val="12"/>
        <w:numPr>
          <w:ilvl w:val="1"/>
          <w:numId w:val="1"/>
        </w:numPr>
        <w:ind w:firstLineChars="0"/>
        <w:outlineLvl w:val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基金产品说明</w:t>
      </w: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投资目标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在控制风险的前提下，追求本基金财产的增值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投资策略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本基金按照自上而下和自下而上相结合的方 法对基金资产进行动态的配置和标的的选择。 一方面根据整体资产配置要求，通过积极的 投资策略主动寻找风险中蕴藏的投资机会， 发掘价格被低估的且符合流动性要求的合适 品种进行投资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投资范围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本基金投资范围为：股票、交易所债券、场 内公募基金买卖、股票质押回购、LOF 申赎、 债券逆回购、已挂牌新三板股票、银行存款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关注行业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智慧城市行业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关注阶段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扩张期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其他需说明事项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pStyle w:val="12"/>
        <w:numPr>
          <w:ilvl w:val="1"/>
          <w:numId w:val="1"/>
        </w:numPr>
        <w:ind w:firstLineChars="0"/>
        <w:outlineLvl w:val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基金管理人和基金托管人</w:t>
      </w: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76"/>
        <w:gridCol w:w="2835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基金管理人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基金托管人（如有）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深圳前海第一基金管理有限公司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国信证券股份有限公司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信息披露负责人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叶沛荣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马晴晴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0769-23039520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0755-81983056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no1jijin@163.com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03369@guosen.com.cn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传真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0769-23039520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0755-22940165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注册地址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广东省深圳市前海深港合作区 前湾一路 1 号 A 栋 201 室（入 驻深圳市前海商务秘书有限公 司）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深圳市罗湖区红岭中路1012号国信证券大厦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办公地址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广东省东莞市南城区鸿福路102号汇成大厦506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深圳市南山区学府路85号软件产业基地1栋A座22楼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邮政编码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523000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518061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法定代表人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叶灼荣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何如</w:t>
            </w:r>
          </w:p>
        </w:tc>
      </w:tr>
    </w:tbl>
    <w:p>
      <w:pPr>
        <w:pStyle w:val="12"/>
        <w:numPr>
          <w:ilvl w:val="1"/>
          <w:numId w:val="1"/>
        </w:numPr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基金投资者情况（选填）</w:t>
      </w:r>
    </w:p>
    <w:tbl>
      <w:tblPr>
        <w:tblStyle w:val="6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2268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认缴出资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实缴出资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罗达全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100.1080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王彩平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100.1420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黄安玉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100.1540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何华标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100.1700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袁冠东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120.1320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</w:p>
    <w:p>
      <w:pPr>
        <w:rPr>
          <w:rFonts w:ascii="仿宋" w:hAnsi="仿宋" w:eastAsia="仿宋"/>
          <w:b/>
          <w:szCs w:val="21"/>
        </w:rPr>
      </w:pPr>
    </w:p>
    <w:p>
      <w:pPr>
        <w:pStyle w:val="12"/>
        <w:numPr>
          <w:ilvl w:val="1"/>
          <w:numId w:val="1"/>
        </w:numPr>
        <w:ind w:firstLineChars="0"/>
        <w:outlineLvl w:val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外包机构情况</w:t>
      </w:r>
    </w:p>
    <w:tbl>
      <w:tblPr>
        <w:tblStyle w:val="6"/>
        <w:tblW w:w="8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8"/>
        <w:gridCol w:w="209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项目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名称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办公地址</w:t>
            </w:r>
          </w:p>
        </w:tc>
        <w:tc>
          <w:tcPr>
            <w:tcW w:w="2178" w:type="dxa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会计师事务所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无</w:t>
            </w:r>
          </w:p>
        </w:tc>
        <w:tc>
          <w:tcPr>
            <w:tcW w:w="2178" w:type="dxa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注册登记机构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国信证券股份有限公司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深圳市南山区学府路85号软件产业基地1栋A座22楼</w:t>
            </w:r>
          </w:p>
        </w:tc>
        <w:tc>
          <w:tcPr>
            <w:tcW w:w="2178" w:type="dxa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外包机构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国信证券股份有限公司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深圳市南山区学府路85号软件产业基地1栋A座22楼</w:t>
            </w:r>
          </w:p>
        </w:tc>
        <w:tc>
          <w:tcPr>
            <w:tcW w:w="2178" w:type="dxa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基金运营情况</w:t>
      </w:r>
    </w:p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2.1累计运营情况</w:t>
      </w:r>
    </w:p>
    <w:tbl>
      <w:tblPr>
        <w:tblStyle w:val="6"/>
        <w:tblW w:w="84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557"/>
        <w:gridCol w:w="2693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期末累计投资总额（实缴）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507.0000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期末累计运营费用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51.7784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期末累计收益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-48.1309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期末累计总投资项目个数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期末累计总投资项目总额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其中：在管项目个数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其中：在管项目总额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本期新增项目个数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本期新增项目总额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已退出项目个数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已退出项目总额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已上市项目个数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已上市项目总额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期末累计总投资基金个数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期末累计总投资基金总额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</w:p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2.2持有项目情况表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XXX项目一（可增加）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91"/>
        <w:gridCol w:w="27"/>
        <w:gridCol w:w="2551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7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投资项目基本信息表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项目名称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投资行业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法定代表人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设立日期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主营业务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注册地址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注册资本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是否并购类项目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是否属于中小企业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是否属于高新技术企业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是否享受国家财税政策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投资阶段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投资日期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投资额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投资占股比例</w:t>
            </w:r>
            <w:r>
              <w:rPr>
                <w:rFonts w:ascii="仿宋" w:hAnsi="仿宋" w:eastAsia="仿宋" w:cs="宋体"/>
                <w:kern w:val="0"/>
                <w:szCs w:val="21"/>
              </w:rPr>
              <w:t>%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是否退出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退出额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退出方式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退出日期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备注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7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61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投资项目追加投资表（如有）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投资阶段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系该项目的第几轮融资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投资日期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投资金额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7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投资项目退出投资表（如有）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退出方式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系该项目的第几次退出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退出日期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退出额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7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项目股权结构情况表（选填）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主要股东姓名</w:t>
            </w:r>
            <w:r>
              <w:rPr>
                <w:rFonts w:ascii="仿宋" w:hAnsi="仿宋" w:eastAsia="仿宋"/>
                <w:szCs w:val="21"/>
              </w:rPr>
              <w:t>/名称（持股5%以上）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持股数（股）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持股比例（</w:t>
            </w:r>
            <w:r>
              <w:rPr>
                <w:rFonts w:ascii="仿宋" w:hAnsi="仿宋" w:eastAsia="仿宋"/>
                <w:szCs w:val="21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…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  <w:b/>
          <w:szCs w:val="21"/>
        </w:rPr>
      </w:pPr>
    </w:p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2.3</w:t>
      </w:r>
      <w:r>
        <w:rPr>
          <w:rFonts w:hint="eastAsia" w:ascii="仿宋" w:hAnsi="仿宋" w:eastAsia="仿宋"/>
          <w:b/>
          <w:szCs w:val="21"/>
        </w:rPr>
        <w:t>所投基金情况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34"/>
        <w:gridCol w:w="795"/>
        <w:gridCol w:w="1300"/>
        <w:gridCol w:w="1250"/>
        <w:gridCol w:w="1559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基金名称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是否备案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基金编码（如有）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投资日期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投资认缴资本总额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已投资总额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12"/>
        <w:ind w:firstLineChars="0"/>
        <w:rPr>
          <w:rFonts w:ascii="仿宋" w:hAnsi="仿宋" w:eastAsia="仿宋"/>
          <w:b/>
          <w:szCs w:val="21"/>
        </w:rPr>
      </w:pPr>
    </w:p>
    <w:p>
      <w:pPr>
        <w:pStyle w:val="12"/>
        <w:ind w:firstLineChars="0"/>
        <w:rPr>
          <w:rFonts w:ascii="仿宋" w:hAnsi="仿宋" w:eastAsia="仿宋"/>
          <w:b/>
          <w:szCs w:val="21"/>
        </w:rPr>
      </w:pPr>
    </w:p>
    <w:p>
      <w:pPr>
        <w:pStyle w:val="12"/>
        <w:ind w:firstLineChars="0"/>
        <w:rPr>
          <w:rFonts w:ascii="仿宋" w:hAnsi="仿宋" w:eastAsia="仿宋"/>
          <w:b/>
          <w:szCs w:val="21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主要财务指标、基金费用及利润分配情况</w:t>
      </w:r>
    </w:p>
    <w:p>
      <w:pPr>
        <w:outlineLvl w:val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3.1 主要会计数据和财务指标</w:t>
      </w:r>
    </w:p>
    <w:tbl>
      <w:tblPr>
        <w:tblStyle w:val="6"/>
        <w:tblW w:w="8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8"/>
        <w:gridCol w:w="209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期间数据和指标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2019年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2018年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  <w:highlight w:val="red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本期已实现收益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-13.0722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-23.0274</w:t>
            </w:r>
          </w:p>
        </w:tc>
        <w:tc>
          <w:tcPr>
            <w:tcW w:w="2178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-12.0312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  <w:highlight w:val="red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本期利润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-520.0722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-23.0274</w:t>
            </w:r>
          </w:p>
        </w:tc>
        <w:tc>
          <w:tcPr>
            <w:tcW w:w="2178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494.9688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期末数据和指标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2019年末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2018年末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2017年末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可供分配收益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-48.1309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-35.0586</w:t>
            </w:r>
          </w:p>
        </w:tc>
        <w:tc>
          <w:tcPr>
            <w:tcW w:w="2178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-12.0312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期末基金净资产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472.5751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992.6474</w:t>
            </w:r>
          </w:p>
        </w:tc>
        <w:tc>
          <w:tcPr>
            <w:tcW w:w="2178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1,015.6748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outlineLvl w:val="0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3.2</w:t>
      </w:r>
      <w:r>
        <w:rPr>
          <w:rFonts w:ascii="仿宋" w:hAnsi="仿宋" w:eastAsia="仿宋" w:cs="Times New Roman"/>
          <w:b/>
          <w:szCs w:val="20"/>
        </w:rPr>
        <w:t xml:space="preserve"> </w:t>
      </w:r>
      <w:r>
        <w:rPr>
          <w:rFonts w:hint="eastAsia" w:ascii="仿宋" w:hAnsi="仿宋" w:eastAsia="仿宋" w:cs="Times New Roman"/>
          <w:b/>
          <w:szCs w:val="20"/>
        </w:rPr>
        <w:t>基金费用明细</w:t>
      </w:r>
    </w:p>
    <w:tbl>
      <w:tblPr>
        <w:tblStyle w:val="1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2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项目</w:t>
            </w:r>
          </w:p>
        </w:tc>
        <w:tc>
          <w:tcPr>
            <w:tcW w:w="322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当期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自设立以来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管理费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10.0969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42.6242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托管费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1.5000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4.3479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业绩报酬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0.0000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外包服务费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1.5000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4.3479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其他（如配售费用、咨询费、自愿放弃的费用金额、未完成交易费等，如有可手动添加）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0.0000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0.4583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费用合计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13.0969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51.7783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</w:p>
    <w:p>
      <w:pPr>
        <w:outlineLvl w:val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3.3 过去三年基金的利润分配情况</w:t>
      </w:r>
    </w:p>
    <w:tbl>
      <w:tblPr>
        <w:tblStyle w:val="6"/>
        <w:tblW w:w="8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32"/>
        <w:gridCol w:w="1532"/>
        <w:gridCol w:w="1532"/>
        <w:gridCol w:w="1532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年度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基金分红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次</w:t>
            </w:r>
            <w:r>
              <w:rPr>
                <w:rFonts w:ascii="仿宋" w:hAnsi="仿宋" w:eastAsia="仿宋" w:cs="Arial"/>
                <w:kern w:val="0"/>
                <w:szCs w:val="21"/>
              </w:rPr>
              <w:t>数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现金分红金额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红利转投资总额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年度利润分配合计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2019年</w:t>
            </w:r>
          </w:p>
        </w:tc>
        <w:tc>
          <w:tcPr>
            <w:tcW w:w="1532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1532" w:type="dxa"/>
            <w:shd w:val="clear" w:color="auto" w:fill="auto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  <w:tc>
          <w:tcPr>
            <w:tcW w:w="1532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  <w:tc>
          <w:tcPr>
            <w:tcW w:w="1532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2018年</w:t>
            </w:r>
          </w:p>
        </w:tc>
        <w:tc>
          <w:tcPr>
            <w:tcW w:w="1532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1532" w:type="dxa"/>
            <w:shd w:val="clear" w:color="auto" w:fill="auto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  <w:tc>
          <w:tcPr>
            <w:tcW w:w="1532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  <w:tc>
          <w:tcPr>
            <w:tcW w:w="1532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2017年</w:t>
            </w:r>
          </w:p>
        </w:tc>
        <w:tc>
          <w:tcPr>
            <w:tcW w:w="1532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1532" w:type="dxa"/>
            <w:shd w:val="clear" w:color="auto" w:fill="auto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  <w:tc>
          <w:tcPr>
            <w:tcW w:w="1532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  <w:tc>
          <w:tcPr>
            <w:tcW w:w="1532" w:type="dxa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0.0000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pStyle w:val="12"/>
        <w:numPr>
          <w:ilvl w:val="0"/>
          <w:numId w:val="1"/>
        </w:numPr>
        <w:ind w:left="426"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基金投资者变动情况</w:t>
      </w:r>
    </w:p>
    <w:tbl>
      <w:tblPr>
        <w:tblStyle w:val="7"/>
        <w:tblW w:w="8392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1177"/>
        <w:gridCol w:w="2835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报告期期初投资者数量</w:t>
            </w:r>
          </w:p>
        </w:tc>
        <w:tc>
          <w:tcPr>
            <w:tcW w:w="1177" w:type="dxa"/>
            <w:shd w:val="clear" w:color="auto" w:fill="auto"/>
          </w:tcPr>
          <w:p>
            <w:pPr>
              <w:jc w:val="right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报告期期初投资者实缴规模</w:t>
            </w:r>
          </w:p>
        </w:tc>
        <w:tc>
          <w:tcPr>
            <w:tcW w:w="1361" w:type="dxa"/>
            <w:shd w:val="clear" w:color="auto" w:fill="auto"/>
          </w:tcPr>
          <w:p>
            <w:pPr>
              <w:jc w:val="right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520.7060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减：报告期期间投资者减少数量</w:t>
            </w:r>
          </w:p>
        </w:tc>
        <w:tc>
          <w:tcPr>
            <w:tcW w:w="1177" w:type="dxa"/>
            <w:shd w:val="clear" w:color="auto" w:fill="auto"/>
          </w:tcPr>
          <w:p>
            <w:pPr>
              <w:jc w:val="right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减：报告期期间基金减少规模</w:t>
            </w:r>
          </w:p>
        </w:tc>
        <w:tc>
          <w:tcPr>
            <w:tcW w:w="1361" w:type="dxa"/>
            <w:shd w:val="clear" w:color="auto" w:fill="auto"/>
          </w:tcPr>
          <w:p>
            <w:pPr>
              <w:jc w:val="right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加：报告期期间投资者新增数量</w:t>
            </w:r>
          </w:p>
        </w:tc>
        <w:tc>
          <w:tcPr>
            <w:tcW w:w="1177" w:type="dxa"/>
            <w:shd w:val="clear" w:color="auto" w:fill="auto"/>
          </w:tcPr>
          <w:p>
            <w:pPr>
              <w:jc w:val="right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加：报告期期间基金新增规模</w:t>
            </w:r>
          </w:p>
        </w:tc>
        <w:tc>
          <w:tcPr>
            <w:tcW w:w="1361" w:type="dxa"/>
            <w:shd w:val="clear" w:color="auto" w:fill="auto"/>
          </w:tcPr>
          <w:p>
            <w:pPr>
              <w:jc w:val="right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报告期期末投资者总数</w:t>
            </w:r>
          </w:p>
        </w:tc>
        <w:tc>
          <w:tcPr>
            <w:tcW w:w="1177" w:type="dxa"/>
            <w:shd w:val="clear" w:color="auto" w:fill="auto"/>
          </w:tcPr>
          <w:p>
            <w:pPr>
              <w:jc w:val="right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报告期期末投资者实缴规模</w:t>
            </w:r>
          </w:p>
        </w:tc>
        <w:tc>
          <w:tcPr>
            <w:tcW w:w="1361" w:type="dxa"/>
            <w:shd w:val="clear" w:color="auto" w:fill="auto"/>
          </w:tcPr>
          <w:p>
            <w:pPr>
              <w:jc w:val="right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520.7060</w:t>
            </w:r>
          </w:p>
        </w:tc>
      </w:tr>
    </w:tbl>
    <w:p>
      <w:pPr>
        <w:pStyle w:val="12"/>
        <w:ind w:left="426" w:firstLine="0" w:firstLineChars="0"/>
        <w:rPr>
          <w:rFonts w:ascii="仿宋" w:hAnsi="仿宋" w:eastAsia="仿宋"/>
          <w:b/>
          <w:szCs w:val="21"/>
        </w:rPr>
      </w:pPr>
    </w:p>
    <w:p>
      <w:pPr>
        <w:pStyle w:val="12"/>
        <w:ind w:left="426" w:firstLine="0" w:firstLineChars="0"/>
        <w:rPr>
          <w:rFonts w:ascii="仿宋" w:hAnsi="仿宋" w:eastAsia="仿宋"/>
          <w:b/>
          <w:szCs w:val="21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管理人报告（</w:t>
      </w:r>
      <w:r>
        <w:rPr>
          <w:rFonts w:hint="eastAsia" w:ascii="仿宋" w:hAnsi="仿宋" w:eastAsia="仿宋" w:cs="Arial"/>
          <w:kern w:val="0"/>
          <w:szCs w:val="21"/>
        </w:rPr>
        <w:t>如报告期内高管及其关联基金情况、高管人员变动情况、基金运作遵规守</w:t>
      </w:r>
    </w:p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 w:cs="Arial"/>
          <w:kern w:val="0"/>
          <w:szCs w:val="21"/>
        </w:rPr>
        <w:t>信情况、基金投资策略和业绩表现、对宏观经济及其行业走势展望、内部基金监察稽核工作、基金估值程序、基金运作情况、投资收益分配和损失承担情况、项目上市进展情况、关联交易等可能存在的利益冲突、关于基金负债以及潜在负债或担保的简要说明等</w:t>
      </w:r>
      <w:r>
        <w:rPr>
          <w:rFonts w:hint="eastAsia" w:ascii="仿宋" w:hAnsi="仿宋" w:eastAsia="仿宋"/>
          <w:b/>
          <w:szCs w:val="21"/>
        </w:rPr>
        <w:t>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Arial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Arial"/>
                <w:kern w:val="0"/>
                <w:szCs w:val="21"/>
              </w:rPr>
              <w:t>1.截止本年度末，本产品持有以下退市或摘牌股票：[832424][科海股份(退市)]；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</w:tbl>
    <w:p>
      <w:pPr>
        <w:pStyle w:val="12"/>
        <w:ind w:left="360" w:firstLine="0" w:firstLineChars="0"/>
        <w:rPr>
          <w:rFonts w:ascii="仿宋" w:hAnsi="仿宋" w:eastAsia="仿宋"/>
          <w:b/>
          <w:szCs w:val="21"/>
        </w:rPr>
      </w:pPr>
    </w:p>
    <w:p>
      <w:pPr>
        <w:pStyle w:val="12"/>
        <w:ind w:left="360" w:firstLine="0" w:firstLineChars="0"/>
        <w:rPr>
          <w:rFonts w:ascii="仿宋" w:hAnsi="仿宋" w:eastAsia="仿宋"/>
          <w:b/>
          <w:szCs w:val="21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托管人（如有）报告（</w:t>
      </w:r>
      <w:r>
        <w:rPr>
          <w:rFonts w:hint="eastAsia" w:ascii="仿宋" w:hAnsi="仿宋" w:eastAsia="仿宋"/>
          <w:szCs w:val="21"/>
        </w:rPr>
        <w:t>如</w:t>
      </w:r>
      <w:r>
        <w:rPr>
          <w:rFonts w:hint="eastAsia" w:ascii="仿宋" w:hAnsi="仿宋" w:eastAsia="仿宋" w:cs="Arial"/>
          <w:kern w:val="0"/>
          <w:szCs w:val="21"/>
        </w:rPr>
        <w:t>报告期内本基金托管人遵规守信情况声明，托管人对报告期内</w:t>
      </w:r>
    </w:p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 w:cs="Arial"/>
          <w:kern w:val="0"/>
          <w:szCs w:val="21"/>
        </w:rPr>
        <w:t>本基金投资运作遵规守信、基金估值、利润分配等情况的说明，托管人对本年度报告中财务信息等内容的真实、准确和完整发表意见等</w:t>
      </w:r>
      <w:r>
        <w:rPr>
          <w:rFonts w:hint="eastAsia" w:ascii="仿宋" w:hAnsi="仿宋" w:eastAsia="仿宋"/>
          <w:b/>
          <w:szCs w:val="21"/>
        </w:rPr>
        <w:t>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报告期内，国信证券股份有限公司（以下称“本托管人”）严格遵守《中华人民共和国证券投资基金法》及其他有关法律法规的规定及基金合同的约定，诚信、尽责地履行了基金托管人义务，不存在损害本基金份额持有人利益的行为。</w:t>
            </w:r>
            <w:r>
              <w:rPr>
                <w:rFonts w:ascii="仿宋" w:hAnsi="仿宋" w:eastAsia="仿宋" w:cs="Arial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Arial"/>
                <w:kern w:val="0"/>
                <w:szCs w:val="21"/>
              </w:rPr>
              <w:t>报告期内，本托管人根据有关法律法规的规定及基金合同的约定，对基金管理人在本基金的投资运作、基金资产净值的计算、基金收益分配的情况等方面进行了必要的监督、复核和审查，结合本托管人通过公开市场信息查询到的相关信息，发现基金管理人及本基金存在如下事项，本托管人认为该等事项可能损害本基金份额持有人的利益，特提示投资者关注：</w:t>
            </w:r>
            <w:r>
              <w:rPr>
                <w:rFonts w:ascii="仿宋" w:hAnsi="仿宋" w:eastAsia="仿宋" w:cs="Arial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Arial"/>
                <w:kern w:val="0"/>
                <w:szCs w:val="21"/>
              </w:rPr>
              <w:t>1.报告期内，投资标的存在退市或摘牌记录；</w:t>
            </w:r>
            <w:r>
              <w:rPr>
                <w:rFonts w:ascii="仿宋" w:hAnsi="仿宋" w:eastAsia="仿宋" w:cs="Arial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Arial"/>
                <w:kern w:val="0"/>
                <w:szCs w:val="21"/>
              </w:rPr>
              <w:t>本托管人认真复核了本报告中的财务指标、净值表现等财务信息相关内容，认为其不存在虚假记载、误导性陈述或者重大遗漏。</w:t>
            </w:r>
            <w:r>
              <w:rPr>
                <w:rFonts w:ascii="仿宋" w:hAnsi="仿宋" w:eastAsia="仿宋" w:cs="Arial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Arial"/>
                <w:kern w:val="0"/>
                <w:szCs w:val="21"/>
              </w:rPr>
              <w:t>本托管人提示投资者关注：</w:t>
            </w:r>
            <w:r>
              <w:rPr>
                <w:rFonts w:ascii="仿宋" w:hAnsi="仿宋" w:eastAsia="仿宋" w:cs="Arial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Arial"/>
                <w:kern w:val="0"/>
                <w:szCs w:val="21"/>
              </w:rPr>
              <w:t>非标准化投资标的根据合同约定的估值方法估值，估值结果可能存在不能反映其公允价值的风险，更不能代表其最终变现价值。</w:t>
            </w:r>
            <w:r>
              <w:rPr>
                <w:rFonts w:ascii="仿宋" w:hAnsi="仿宋" w:eastAsia="仿宋" w:cs="Arial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Arial"/>
                <w:kern w:val="0"/>
                <w:szCs w:val="21"/>
              </w:rPr>
              <w:t>因托管人获取信息有限，请投资者谨慎识别和判断风险，并及时向基金管理人获取本基金实际投资项目状况及风险状况等。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</w:tbl>
    <w:p>
      <w:pPr>
        <w:pStyle w:val="12"/>
        <w:widowControl/>
        <w:ind w:left="283" w:firstLine="0" w:firstLineChars="0"/>
        <w:jc w:val="left"/>
        <w:rPr>
          <w:rFonts w:ascii="仿宋" w:hAnsi="仿宋" w:eastAsia="仿宋" w:cs="Times New Roman"/>
          <w:b/>
          <w:szCs w:val="20"/>
        </w:rPr>
      </w:pPr>
    </w:p>
    <w:p>
      <w:pPr>
        <w:pStyle w:val="12"/>
        <w:widowControl/>
        <w:ind w:left="283" w:firstLine="0" w:firstLineChars="0"/>
        <w:jc w:val="left"/>
        <w:rPr>
          <w:rFonts w:ascii="仿宋" w:hAnsi="仿宋" w:eastAsia="仿宋" w:cs="Times New Roman"/>
          <w:b/>
          <w:szCs w:val="20"/>
        </w:rPr>
      </w:pPr>
    </w:p>
    <w:p>
      <w:pPr>
        <w:pStyle w:val="12"/>
        <w:widowControl/>
        <w:numPr>
          <w:ilvl w:val="0"/>
          <w:numId w:val="1"/>
        </w:numPr>
        <w:ind w:left="284" w:hanging="285" w:hangingChars="135"/>
        <w:jc w:val="left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/>
          <w:b/>
          <w:szCs w:val="21"/>
        </w:rPr>
        <w:t>经审计财务报告</w:t>
      </w:r>
    </w:p>
    <w:p>
      <w:pPr>
        <w:pStyle w:val="12"/>
        <w:widowControl/>
        <w:ind w:left="285" w:firstLine="0" w:firstLineChars="0"/>
        <w:jc w:val="left"/>
        <w:rPr>
          <w:rFonts w:hint="eastAsia" w:ascii="仿宋" w:hAnsi="仿宋" w:eastAsia="仿宋"/>
          <w:b/>
          <w:szCs w:val="21"/>
        </w:rPr>
      </w:pPr>
    </w:p>
    <w:p>
      <w:pPr>
        <w:pStyle w:val="12"/>
        <w:widowControl/>
        <w:ind w:left="285" w:firstLine="0" w:firstLineChars="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是否有经审计财务报告：否</w:t>
      </w:r>
    </w:p>
    <w:p>
      <w:pPr>
        <w:pStyle w:val="12"/>
        <w:widowControl/>
        <w:ind w:left="285" w:firstLine="0" w:firstLineChars="0"/>
        <w:jc w:val="left"/>
        <w:rPr>
          <w:rFonts w:hint="eastAsia" w:ascii="仿宋" w:hAnsi="仿宋" w:eastAsia="仿宋"/>
        </w:rPr>
      </w:pPr>
    </w:p>
    <w:p>
      <w:pPr>
        <w:pStyle w:val="12"/>
        <w:widowControl/>
        <w:ind w:left="285" w:firstLine="0" w:firstLineChars="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上一年度审计报告中会计师事务所出具的是否是标准意见：否</w:t>
      </w:r>
    </w:p>
    <w:p>
      <w:pPr>
        <w:pStyle w:val="12"/>
        <w:widowControl/>
        <w:ind w:left="285" w:firstLine="0" w:firstLineChars="0"/>
        <w:jc w:val="left"/>
        <w:rPr>
          <w:rFonts w:hint="eastAsia" w:ascii="仿宋" w:hAnsi="仿宋" w:eastAsia="仿宋"/>
        </w:rPr>
      </w:pPr>
    </w:p>
    <w:tbl>
      <w:tblPr>
        <w:tblStyle w:val="6"/>
        <w:tblW w:w="8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8"/>
        <w:gridCol w:w="209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会计师事务所名称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是否具有证券期货机构审计业务资格</w:t>
            </w:r>
          </w:p>
        </w:tc>
        <w:tc>
          <w:tcPr>
            <w:tcW w:w="2178" w:type="dxa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会计师事务所营业执照号码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会计师事务所编号</w:t>
            </w:r>
          </w:p>
        </w:tc>
        <w:tc>
          <w:tcPr>
            <w:tcW w:w="2178" w:type="dxa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会计师事务所联系人姓名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会计师事务所联系人移动电话</w:t>
            </w:r>
          </w:p>
        </w:tc>
        <w:tc>
          <w:tcPr>
            <w:tcW w:w="2178" w:type="dxa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会计师事务所联系人电子邮箱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会计师事务所办公地址</w:t>
            </w:r>
          </w:p>
        </w:tc>
        <w:tc>
          <w:tcPr>
            <w:tcW w:w="2178" w:type="dxa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无</w:t>
            </w:r>
          </w:p>
        </w:tc>
      </w:tr>
    </w:tbl>
    <w:p>
      <w:pPr>
        <w:pStyle w:val="12"/>
        <w:widowControl/>
        <w:ind w:firstLine="0" w:firstLineChars="0"/>
        <w:jc w:val="left"/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信息披露报告是否经托管机构或会计师事务所复核：是</w:t>
      </w:r>
    </w:p>
    <w:p>
      <w:pPr>
        <w:widowControl/>
        <w:jc w:val="left"/>
        <w:rPr>
          <w:rFonts w:ascii="仿宋" w:hAnsi="仿宋" w:eastAsia="仿宋" w:cs="Times New Roman"/>
          <w:b/>
          <w:szCs w:val="2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33E"/>
    <w:multiLevelType w:val="multilevel"/>
    <w:tmpl w:val="038A73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A2809E3"/>
    <w:rsid w:val="4A5F2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0"/>
    <w:rPr>
      <w:vertAlign w:val="superscript"/>
    </w:rPr>
  </w:style>
  <w:style w:type="table" w:customStyle="1" w:styleId="10">
    <w:name w:val="表格1"/>
    <w:basedOn w:val="6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脚注文本 Char"/>
    <w:basedOn w:val="8"/>
    <w:link w:val="5"/>
    <w:qFormat/>
    <w:uiPriority w:val="99"/>
    <w:rPr>
      <w:rFonts w:asciiTheme="minorHAnsi" w:hAnsiTheme="minorHAnsi" w:eastAsiaTheme="minorEastAsia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table" w:customStyle="1" w:styleId="13">
    <w:name w:val="网格型2"/>
    <w:basedOn w:val="6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hAnsiTheme="minorHAnsi"/>
      <w:sz w:val="18"/>
      <w:szCs w:val="18"/>
    </w:rPr>
  </w:style>
  <w:style w:type="character" w:customStyle="1" w:styleId="15">
    <w:name w:val="页眉 Char"/>
    <w:basedOn w:val="8"/>
    <w:link w:val="4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613</Words>
  <Characters>3499</Characters>
  <Lines>29</Lines>
  <Paragraphs>8</Paragraphs>
  <TotalTime>0</TotalTime>
  <ScaleCrop>false</ScaleCrop>
  <LinksUpToDate>false</LinksUpToDate>
  <CharactersWithSpaces>4104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2016-12-19T09:37:00Z</dcterms:created>
  <dc:creator>118655</dc:creator>
  <cp:lastModifiedBy>Pei</cp:lastModifiedBy>
  <dcterms:modified xsi:type="dcterms:W3CDTF">2021-01-25T03:14:07Z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