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9" w:lineRule="exact" w:before="0"/>
        <w:ind w:left="1151" w:right="1151" w:firstLine="0"/>
        <w:jc w:val="center"/>
        <w:rPr>
          <w:rFonts w:ascii="Microsoft JhengHei" w:eastAsia="Microsoft JhengHei" w:hint="eastAsia"/>
          <w:b/>
          <w:sz w:val="28"/>
        </w:rPr>
      </w:pPr>
      <w:r>
        <w:rPr>
          <w:rFonts w:ascii="Microsoft JhengHei" w:eastAsia="Microsoft JhengHei" w:hint="eastAsia"/>
          <w:b/>
          <w:sz w:val="28"/>
        </w:rPr>
        <w:t>第一文化传媒私募股权投资基金 2020 年半年度报告</w:t>
      </w:r>
    </w:p>
    <w:p>
      <w:pPr>
        <w:pStyle w:val="BodyText"/>
        <w:spacing w:line="241" w:lineRule="exact" w:before="119"/>
        <w:ind w:left="1151" w:right="1151"/>
        <w:jc w:val="center"/>
      </w:pPr>
      <w:r>
        <w:rPr/>
        <w:t>2020-01-01-2020-06-30</w:t>
      </w:r>
    </w:p>
    <w:p>
      <w:pPr>
        <w:spacing w:line="358" w:lineRule="exact" w:before="0"/>
        <w:ind w:left="0" w:right="219" w:firstLine="0"/>
        <w:jc w:val="righ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color w:val="FF0000"/>
          <w:sz w:val="21"/>
        </w:rPr>
        <w:t>金额单位：万元</w:t>
      </w:r>
    </w:p>
    <w:p>
      <w:pPr>
        <w:pStyle w:val="BodyText"/>
        <w:spacing w:before="12"/>
        <w:rPr>
          <w:rFonts w:ascii="Microsoft JhengHei"/>
          <w:b/>
          <w:sz w:val="6"/>
        </w:rPr>
      </w:pPr>
    </w:p>
    <w:p>
      <w:pPr>
        <w:spacing w:before="2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1、 基金基本情况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1"/>
        <w:gridCol w:w="4261"/>
      </w:tblGrid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第一文化传媒私募股权投资基金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SW0161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基金类型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创业投资基金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基金注册地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不适用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基金成立日期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2017-07-31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基金到期日期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2020-07-31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认缴金额（如有）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已实缴金额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估值方法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期末总资产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期末净资产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705.4772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关键人士/投资经理/投资团队（如有）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投资者数量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2、 基金管理人和基金托管人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173"/>
        <w:gridCol w:w="3136"/>
        <w:gridCol w:w="3150"/>
      </w:tblGrid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888" w:right="878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43"/>
              <w:rPr>
                <w:sz w:val="21"/>
              </w:rPr>
            </w:pPr>
            <w:r>
              <w:rPr>
                <w:sz w:val="21"/>
              </w:rPr>
              <w:t>基金管理人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630"/>
              <w:rPr>
                <w:sz w:val="21"/>
              </w:rPr>
            </w:pPr>
            <w:r>
              <w:rPr>
                <w:sz w:val="21"/>
              </w:rPr>
              <w:t>基金托管人（如有）</w:t>
            </w:r>
          </w:p>
        </w:tc>
      </w:tr>
      <w:tr>
        <w:trPr>
          <w:trHeight w:val="624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深圳前海第一基金管理有限公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司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招商银行股份有限公司</w:t>
            </w:r>
          </w:p>
        </w:tc>
      </w:tr>
      <w:tr>
        <w:trPr>
          <w:trHeight w:val="311" w:hRule="atLeast"/>
        </w:trPr>
        <w:tc>
          <w:tcPr>
            <w:tcW w:w="1063" w:type="dxa"/>
            <w:vMerge w:val="restart"/>
          </w:tcPr>
          <w:p>
            <w:pPr>
              <w:pStyle w:val="TableParagraph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TableParagraph"/>
              <w:spacing w:line="278" w:lineRule="auto"/>
              <w:ind w:left="216" w:right="99" w:hanging="105"/>
              <w:rPr>
                <w:sz w:val="21"/>
              </w:rPr>
            </w:pPr>
            <w:r>
              <w:rPr>
                <w:sz w:val="21"/>
              </w:rPr>
              <w:t>信息披露负责人</w:t>
            </w:r>
          </w:p>
        </w:tc>
        <w:tc>
          <w:tcPr>
            <w:tcW w:w="1173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叶沛荣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姚敏</w:t>
            </w:r>
          </w:p>
        </w:tc>
      </w:tr>
      <w:tr>
        <w:trPr>
          <w:trHeight w:val="311" w:hRule="atLeast"/>
        </w:trPr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0758-23039520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027-85495657</w:t>
            </w:r>
          </w:p>
        </w:tc>
      </w:tr>
      <w:tr>
        <w:trPr>
          <w:trHeight w:val="311" w:hRule="atLeast"/>
        </w:trPr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hyperlink r:id="rId6">
              <w:r>
                <w:rPr>
                  <w:sz w:val="21"/>
                </w:rPr>
                <w:t>no1jijin@163.com</w:t>
              </w:r>
            </w:hyperlink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hyperlink r:id="rId7">
              <w:r>
                <w:rPr>
                  <w:sz w:val="21"/>
                </w:rPr>
                <w:t>yaomin331@cmbchina.com</w:t>
              </w:r>
            </w:hyperlink>
          </w:p>
        </w:tc>
      </w:tr>
      <w:tr>
        <w:trPr>
          <w:trHeight w:val="311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0769-23039520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0755-22940165</w:t>
            </w:r>
          </w:p>
        </w:tc>
      </w:tr>
      <w:tr>
        <w:trPr>
          <w:trHeight w:val="1248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136" w:type="dxa"/>
          </w:tcPr>
          <w:p>
            <w:pPr>
              <w:pStyle w:val="TableParagraph"/>
              <w:spacing w:line="278" w:lineRule="auto" w:before="23"/>
              <w:ind w:left="108" w:right="28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广东省深圳市前海深港合作区</w:t>
            </w:r>
            <w:r>
              <w:rPr>
                <w:spacing w:val="-11"/>
                <w:sz w:val="21"/>
              </w:rPr>
              <w:t>前湾一路 </w:t>
            </w:r>
            <w:r>
              <w:rPr>
                <w:sz w:val="21"/>
              </w:rPr>
              <w:t>1</w:t>
            </w:r>
            <w:r>
              <w:rPr>
                <w:spacing w:val="-36"/>
                <w:sz w:val="21"/>
              </w:rPr>
              <w:t> 号 </w:t>
            </w:r>
            <w:r>
              <w:rPr>
                <w:sz w:val="21"/>
              </w:rPr>
              <w:t>A</w:t>
            </w:r>
            <w:r>
              <w:rPr>
                <w:spacing w:val="-36"/>
                <w:sz w:val="21"/>
              </w:rPr>
              <w:t> 栋 </w:t>
            </w:r>
            <w:r>
              <w:rPr>
                <w:sz w:val="21"/>
              </w:rPr>
              <w:t>201</w:t>
            </w:r>
            <w:r>
              <w:rPr>
                <w:spacing w:val="-27"/>
                <w:sz w:val="21"/>
              </w:rPr>
              <w:t> 室</w:t>
            </w:r>
            <w:r>
              <w:rPr>
                <w:sz w:val="21"/>
              </w:rPr>
              <w:t>（</w:t>
            </w:r>
            <w:r>
              <w:rPr>
                <w:spacing w:val="-16"/>
                <w:sz w:val="21"/>
              </w:rPr>
              <w:t>入</w:t>
            </w:r>
            <w:r>
              <w:rPr>
                <w:spacing w:val="-2"/>
                <w:sz w:val="21"/>
              </w:rPr>
              <w:t>驻深圳市前海商务秘书有限公</w:t>
            </w:r>
          </w:p>
          <w:p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司）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武汉市汉口建设大道 518 号</w:t>
            </w:r>
          </w:p>
        </w:tc>
      </w:tr>
      <w:tr>
        <w:trPr>
          <w:trHeight w:val="623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办公地址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广东省东莞市南城区鸿福路 102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号汇成大厦 506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武汉市江汉区建设大道 518 号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招银大厦裙楼 516 室</w:t>
            </w:r>
          </w:p>
        </w:tc>
      </w:tr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523000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430022</w:t>
            </w:r>
          </w:p>
        </w:tc>
      </w:tr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313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叶灼荣</w:t>
            </w:r>
          </w:p>
        </w:tc>
        <w:tc>
          <w:tcPr>
            <w:tcW w:w="3150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文行赤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3</w:t>
      </w:r>
      <w:r>
        <w:rPr>
          <w:rFonts w:ascii="Microsoft JhengHei" w:eastAsia="Microsoft JhengHei" w:hint="eastAsia"/>
          <w:b/>
          <w:spacing w:val="2"/>
          <w:sz w:val="21"/>
        </w:rPr>
        <w:t>、 基金投资者情况</w:t>
      </w:r>
      <w:r>
        <w:rPr>
          <w:rFonts w:ascii="Microsoft JhengHei" w:eastAsia="Microsoft JhengHei" w:hint="eastAsia"/>
          <w:b/>
          <w:sz w:val="21"/>
        </w:rPr>
        <w:t>（选填）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246"/>
        <w:gridCol w:w="1708"/>
        <w:gridCol w:w="1646"/>
        <w:gridCol w:w="1643"/>
      </w:tblGrid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23"/>
              <w:ind w:left="42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598"/>
              <w:rPr>
                <w:sz w:val="21"/>
              </w:rPr>
            </w:pPr>
            <w:r>
              <w:rPr>
                <w:sz w:val="21"/>
              </w:rPr>
              <w:t>投资者名称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329"/>
              <w:rPr>
                <w:sz w:val="21"/>
              </w:rPr>
            </w:pPr>
            <w:r>
              <w:rPr>
                <w:sz w:val="21"/>
              </w:rPr>
              <w:t>投资者类型</w:t>
            </w:r>
          </w:p>
        </w:tc>
        <w:tc>
          <w:tcPr>
            <w:tcW w:w="1646" w:type="dxa"/>
          </w:tcPr>
          <w:p>
            <w:pPr>
              <w:pStyle w:val="TableParagraph"/>
              <w:spacing w:before="23"/>
              <w:ind w:left="402"/>
              <w:rPr>
                <w:sz w:val="21"/>
              </w:rPr>
            </w:pPr>
            <w:r>
              <w:rPr>
                <w:sz w:val="21"/>
              </w:rPr>
              <w:t>认缴出资</w:t>
            </w:r>
          </w:p>
        </w:tc>
        <w:tc>
          <w:tcPr>
            <w:tcW w:w="1643" w:type="dxa"/>
          </w:tcPr>
          <w:p>
            <w:pPr>
              <w:pStyle w:val="TableParagraph"/>
              <w:spacing w:before="23"/>
              <w:ind w:left="401"/>
              <w:rPr>
                <w:sz w:val="21"/>
              </w:rPr>
            </w:pPr>
            <w:r>
              <w:rPr>
                <w:sz w:val="21"/>
              </w:rPr>
              <w:t>实缴出资</w:t>
            </w:r>
          </w:p>
        </w:tc>
      </w:tr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黄俊生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</w:tbl>
    <w:p>
      <w:pPr>
        <w:spacing w:after="0"/>
        <w:jc w:val="right"/>
        <w:rPr>
          <w:sz w:val="21"/>
        </w:rPr>
        <w:sectPr>
          <w:footerReference w:type="default" r:id="rId5"/>
          <w:type w:val="continuous"/>
          <w:pgSz w:w="11910" w:h="16840"/>
          <w:pgMar w:footer="1175" w:top="1520" w:bottom="1360" w:left="1580" w:right="1580"/>
          <w:pgNumType w:start="1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246"/>
        <w:gridCol w:w="1708"/>
        <w:gridCol w:w="1646"/>
        <w:gridCol w:w="1643"/>
      </w:tblGrid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邓朝龙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</w:tr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黄安玉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张雨洁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</w:tr>
      <w:tr>
        <w:trPr>
          <w:trHeight w:val="623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张雨洁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>
        <w:trPr>
          <w:trHeight w:val="623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246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周汉球</w:t>
            </w:r>
          </w:p>
        </w:tc>
        <w:tc>
          <w:tcPr>
            <w:tcW w:w="1708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</w:tbl>
    <w:p>
      <w:pPr>
        <w:pStyle w:val="BodyText"/>
        <w:spacing w:before="2"/>
        <w:rPr>
          <w:rFonts w:ascii="Microsoft JhengHei"/>
          <w:b/>
          <w:sz w:val="25"/>
        </w:rPr>
      </w:pPr>
    </w:p>
    <w:p>
      <w:pPr>
        <w:spacing w:before="2"/>
        <w:ind w:left="220" w:right="0" w:firstLine="0"/>
        <w:jc w:val="left"/>
        <w:rPr>
          <w:sz w:val="21"/>
        </w:rPr>
      </w:pPr>
      <w:r>
        <w:rPr>
          <w:rFonts w:ascii="Microsoft JhengHei" w:eastAsia="Microsoft JhengHei" w:hint="eastAsia"/>
          <w:b/>
          <w:sz w:val="21"/>
        </w:rPr>
        <w:t>4、 基金投资运作情况</w:t>
      </w:r>
      <w:r>
        <w:rPr>
          <w:sz w:val="21"/>
        </w:rPr>
        <w:t>（同一项目多轮投资请分次列出）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645" w:val="left" w:leader="none"/>
        </w:tabs>
        <w:spacing w:line="240" w:lineRule="auto" w:before="0" w:after="51"/>
        <w:ind w:left="645" w:right="0" w:hanging="425"/>
        <w:jc w:val="left"/>
      </w:pPr>
      <w:r>
        <w:rPr/>
        <w:t>所投项目情况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rPr>
          <w:trHeight w:val="1560" w:hRule="atLeast"/>
        </w:trPr>
        <w:tc>
          <w:tcPr>
            <w:tcW w:w="655" w:type="dxa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投资项目名称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项目注册地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投资行业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投资方式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持股比例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656" w:type="dxa"/>
          </w:tcPr>
          <w:p>
            <w:pPr>
              <w:pStyle w:val="TableParagraph"/>
              <w:spacing w:line="278" w:lineRule="auto" w:before="179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投资认缴资本总额</w:t>
            </w:r>
          </w:p>
        </w:tc>
        <w:tc>
          <w:tcPr>
            <w:tcW w:w="656" w:type="dxa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6"/>
              <w:rPr>
                <w:sz w:val="21"/>
              </w:rPr>
            </w:pPr>
            <w:r>
              <w:rPr>
                <w:sz w:val="21"/>
              </w:rPr>
              <w:t>是否退出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退出日期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退出方式</w:t>
            </w:r>
          </w:p>
        </w:tc>
        <w:tc>
          <w:tcPr>
            <w:tcW w:w="656" w:type="dxa"/>
          </w:tcPr>
          <w:p>
            <w:pPr>
              <w:pStyle w:val="TableParagraph"/>
              <w:spacing w:line="278" w:lineRule="auto" w:before="23"/>
              <w:ind w:left="117" w:right="10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收益亏损情况</w:t>
            </w:r>
          </w:p>
          <w:p>
            <w:pPr>
              <w:pStyle w:val="TableParagraph"/>
              <w:spacing w:line="269" w:lineRule="exact"/>
              <w:ind w:left="117"/>
              <w:rPr>
                <w:sz w:val="21"/>
              </w:rPr>
            </w:pPr>
            <w:r>
              <w:rPr>
                <w:sz w:val="21"/>
              </w:rPr>
              <w:t>（如</w:t>
            </w:r>
          </w:p>
          <w:p>
            <w:pPr>
              <w:pStyle w:val="TableParagraph"/>
              <w:spacing w:before="43"/>
              <w:ind w:left="117"/>
              <w:rPr>
                <w:sz w:val="21"/>
              </w:rPr>
            </w:pPr>
            <w:r>
              <w:rPr>
                <w:sz w:val="21"/>
              </w:rPr>
              <w:t>有）</w:t>
            </w:r>
          </w:p>
        </w:tc>
      </w:tr>
      <w:tr>
        <w:trPr>
          <w:trHeight w:val="323" w:hRule="atLeast"/>
        </w:trPr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北京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北京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境内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left="127"/>
              <w:rPr>
                <w:sz w:val="21"/>
              </w:rPr>
            </w:pPr>
            <w:r>
              <w:rPr>
                <w:sz w:val="21"/>
              </w:rPr>
              <w:t>3.81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left="108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2"/>
              <w:ind w:left="233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神舟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市海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技术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未上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-12-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智汇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淀区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市、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科技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昆明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未挂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有限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108"/>
              <w:rPr>
                <w:sz w:val="21"/>
              </w:rPr>
            </w:pPr>
            <w:r>
              <w:rPr>
                <w:sz w:val="21"/>
              </w:rPr>
              <w:t>湖南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108"/>
              <w:rPr>
                <w:sz w:val="21"/>
              </w:rPr>
            </w:pPr>
            <w:r>
              <w:rPr>
                <w:sz w:val="21"/>
              </w:rPr>
              <w:t>牌公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公司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108"/>
              <w:rPr>
                <w:sz w:val="21"/>
              </w:rPr>
            </w:pPr>
            <w:r>
              <w:rPr>
                <w:sz w:val="21"/>
              </w:rPr>
              <w:t>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108"/>
              <w:rPr>
                <w:sz w:val="21"/>
              </w:rPr>
            </w:pPr>
            <w:r>
              <w:rPr>
                <w:sz w:val="21"/>
              </w:rPr>
              <w:t>司股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46"/>
              <w:ind w:left="108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权投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号 B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资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6"/>
              <w:ind w:left="108"/>
              <w:rPr>
                <w:sz w:val="21"/>
              </w:rPr>
            </w:pPr>
            <w:r>
              <w:rPr>
                <w:sz w:val="21"/>
              </w:rPr>
              <w:t>座一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层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1"/>
              <w:ind w:left="108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"/>
        <w:rPr>
          <w:rFonts w:ascii="Microsoft JhengHei"/>
          <w:b/>
          <w:sz w:val="11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0pt,13.00975pt" to="121.5pt,13.00975pt" stroked="true" strokeweight=".525pt" strokecolor="#333399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48" w:after="51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所投基金情况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231"/>
        <w:gridCol w:w="846"/>
        <w:gridCol w:w="1253"/>
        <w:gridCol w:w="1248"/>
        <w:gridCol w:w="1560"/>
        <w:gridCol w:w="1374"/>
      </w:tblGrid>
      <w:tr>
        <w:trPr>
          <w:trHeight w:val="624" w:hRule="atLeast"/>
        </w:trPr>
        <w:tc>
          <w:tcPr>
            <w:tcW w:w="1010" w:type="dxa"/>
          </w:tcPr>
          <w:p>
            <w:pPr>
              <w:pStyle w:val="TableParagraph"/>
              <w:spacing w:before="179"/>
              <w:ind w:left="295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31" w:type="dxa"/>
          </w:tcPr>
          <w:p>
            <w:pPr>
              <w:pStyle w:val="TableParagraph"/>
              <w:spacing w:before="179"/>
              <w:ind w:left="195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846" w:type="dxa"/>
          </w:tcPr>
          <w:p>
            <w:pPr>
              <w:pStyle w:val="TableParagraph"/>
              <w:spacing w:before="23"/>
              <w:ind w:left="88" w:right="78"/>
              <w:jc w:val="center"/>
              <w:rPr>
                <w:sz w:val="21"/>
              </w:rPr>
            </w:pPr>
            <w:r>
              <w:rPr>
                <w:sz w:val="21"/>
              </w:rPr>
              <w:t>是否备</w:t>
            </w:r>
          </w:p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案</w:t>
            </w:r>
          </w:p>
        </w:tc>
        <w:tc>
          <w:tcPr>
            <w:tcW w:w="1253" w:type="dxa"/>
          </w:tcPr>
          <w:p>
            <w:pPr>
              <w:pStyle w:val="TableParagraph"/>
              <w:spacing w:before="23"/>
              <w:ind w:left="206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  <w:p>
            <w:pPr>
              <w:pStyle w:val="TableParagraph"/>
              <w:spacing w:before="43"/>
              <w:ind w:left="206"/>
              <w:rPr>
                <w:sz w:val="21"/>
              </w:rPr>
            </w:pPr>
            <w:r>
              <w:rPr>
                <w:sz w:val="21"/>
              </w:rPr>
              <w:t>（如有）</w:t>
            </w:r>
          </w:p>
        </w:tc>
        <w:tc>
          <w:tcPr>
            <w:tcW w:w="1248" w:type="dxa"/>
          </w:tcPr>
          <w:p>
            <w:pPr>
              <w:pStyle w:val="TableParagraph"/>
              <w:spacing w:before="179"/>
              <w:ind w:left="204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投资认缴资本</w:t>
            </w:r>
          </w:p>
          <w:p>
            <w:pPr>
              <w:pStyle w:val="TableParagraph"/>
              <w:spacing w:before="43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总额</w:t>
            </w:r>
          </w:p>
        </w:tc>
        <w:tc>
          <w:tcPr>
            <w:tcW w:w="1374" w:type="dxa"/>
          </w:tcPr>
          <w:p>
            <w:pPr>
              <w:pStyle w:val="TableParagraph"/>
              <w:spacing w:before="179"/>
              <w:ind w:left="161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</w:tr>
      <w:tr>
        <w:trPr>
          <w:trHeight w:val="312" w:hRule="atLeast"/>
        </w:trPr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5、 基金持有项目/基金特别情况说明（选填）</w:t>
      </w:r>
    </w:p>
    <w:p>
      <w:pPr>
        <w:pStyle w:val="BodyText"/>
        <w:spacing w:before="2"/>
        <w:rPr>
          <w:rFonts w:ascii="Microsoft JhengHei"/>
          <w:b/>
          <w:sz w:val="7"/>
        </w:rPr>
      </w:pPr>
      <w:r>
        <w:rPr/>
        <w:pict>
          <v:group style="position:absolute;margin-left:84.349998pt;margin-top:8.506017pt;width:426.6pt;height:16.6pt;mso-position-horizontal-relative:page;mso-position-vertical-relative:paragraph;z-index:-251657216;mso-wrap-distance-left:0;mso-wrap-distance-right:0" coordorigin="1687,170" coordsize="8532,332">
            <v:line style="position:absolute" from="1692,180" to="1692,492" stroked="true" strokeweight=".5pt" strokecolor="#000000">
              <v:stroke dashstyle="solid"/>
            </v:line>
            <v:line style="position:absolute" from="10214,180" to="10214,492" stroked="true" strokeweight=".5pt" strokecolor="#000000">
              <v:stroke dashstyle="solid"/>
            </v:line>
            <v:line style="position:absolute" from="1687,175" to="10219,175" stroked="true" strokeweight=".5pt" strokecolor="#000000">
              <v:stroke dashstyle="solid"/>
            </v:line>
            <v:line style="position:absolute" from="1687,497" to="10219,497" stroked="true" strokeweight=".5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rFonts w:ascii="Microsoft JhengHei"/>
          <w:sz w:val="7"/>
        </w:rPr>
        <w:sectPr>
          <w:pgSz w:w="11910" w:h="16840"/>
          <w:pgMar w:header="0" w:footer="1175" w:top="1420" w:bottom="1380" w:left="1580" w:right="1580"/>
        </w:sectPr>
      </w:pPr>
    </w:p>
    <w:p>
      <w:pPr>
        <w:pStyle w:val="BodyText"/>
        <w:spacing w:before="10"/>
        <w:rPr>
          <w:rFonts w:ascii="Microsoft JhengHei"/>
          <w:b/>
          <w:sz w:val="16"/>
        </w:rPr>
      </w:pPr>
    </w:p>
    <w:p>
      <w:pPr>
        <w:spacing w:before="1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6、 基金费用明细</w:t>
      </w:r>
    </w:p>
    <w:p>
      <w:pPr>
        <w:pStyle w:val="BodyText"/>
        <w:spacing w:before="5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2209"/>
        <w:gridCol w:w="2661"/>
      </w:tblGrid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596" w:right="1586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209" w:type="dxa"/>
          </w:tcPr>
          <w:p>
            <w:pPr>
              <w:pStyle w:val="TableParagraph"/>
              <w:spacing w:before="23"/>
              <w:ind w:left="874" w:right="864"/>
              <w:jc w:val="center"/>
              <w:rPr>
                <w:sz w:val="21"/>
              </w:rPr>
            </w:pPr>
            <w:r>
              <w:rPr>
                <w:sz w:val="21"/>
              </w:rPr>
              <w:t>当期</w:t>
            </w:r>
          </w:p>
        </w:tc>
        <w:tc>
          <w:tcPr>
            <w:tcW w:w="2661" w:type="dxa"/>
          </w:tcPr>
          <w:p>
            <w:pPr>
              <w:pStyle w:val="TableParagraph"/>
              <w:spacing w:before="23"/>
              <w:ind w:left="805"/>
              <w:rPr>
                <w:sz w:val="21"/>
              </w:rPr>
            </w:pPr>
            <w:r>
              <w:rPr>
                <w:sz w:val="21"/>
              </w:rPr>
              <w:t>自设立以来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管理费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7.459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39.1191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托管费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0.4972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2.9082</w:t>
            </w:r>
          </w:p>
        </w:tc>
      </w:tr>
      <w:tr>
        <w:trPr>
          <w:trHeight w:val="311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业绩报酬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外包服务费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0.634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2.4955</w:t>
            </w:r>
          </w:p>
        </w:tc>
      </w:tr>
      <w:tr>
        <w:trPr>
          <w:trHeight w:val="936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其他（如配售费用、咨询费、自愿放</w:t>
            </w:r>
          </w:p>
          <w:p>
            <w:pPr>
              <w:pStyle w:val="TableParagraph"/>
              <w:spacing w:line="310" w:lineRule="atLeast" w:before="2"/>
              <w:ind w:left="108" w:right="173"/>
              <w:rPr>
                <w:sz w:val="21"/>
              </w:rPr>
            </w:pPr>
            <w:r>
              <w:rPr>
                <w:sz w:val="21"/>
              </w:rPr>
              <w:t>弃的费用金额、未完成交易费等，如有可手动添加）</w:t>
            </w:r>
          </w:p>
        </w:tc>
        <w:tc>
          <w:tcPr>
            <w:tcW w:w="2209" w:type="dxa"/>
          </w:tcPr>
          <w:p>
            <w:pPr>
              <w:pStyle w:val="TableParagraph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61" w:type="dxa"/>
          </w:tcPr>
          <w:p>
            <w:pPr>
              <w:pStyle w:val="TableParagraph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费用合计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8.5902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44.5228</w:t>
            </w:r>
          </w:p>
        </w:tc>
      </w:tr>
    </w:tbl>
    <w:p>
      <w:pPr>
        <w:pStyle w:val="BodyText"/>
        <w:spacing w:before="0"/>
        <w:rPr>
          <w:rFonts w:ascii="Microsoft JhengHei"/>
          <w:b/>
          <w:sz w:val="20"/>
        </w:rPr>
      </w:pPr>
    </w:p>
    <w:p>
      <w:pPr>
        <w:pStyle w:val="BodyText"/>
        <w:spacing w:line="468" w:lineRule="exact" w:before="1"/>
        <w:ind w:left="645" w:right="330" w:hanging="425"/>
        <w:jc w:val="both"/>
      </w:pPr>
      <w:r>
        <w:rPr>
          <w:rFonts w:ascii="Microsoft JhengHei" w:eastAsia="Microsoft JhengHei" w:hint="eastAsia"/>
          <w:b/>
        </w:rPr>
        <w:t>7、 管理人报告（选填）</w:t>
      </w:r>
      <w:r>
        <w:rPr/>
        <w:t>（如报告期内高管及其关联基金情况、高管人员变动情况、基金运作遵规守信情况、基金投资策略和业绩表现、对宏观经济及其行业走势展望、内部基金监察稽核工作、基金估值程序、基金运作情况、投资收益分配和损失承担情况、项目上市进展情况、关联交易等可能存在的利益冲突、关于基金负债以及潜在负债或担保的简要说明等）</w:t>
      </w: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84.349998pt;margin-top:9.161319pt;width:426.6pt;height:16.6pt;mso-position-horizontal-relative:page;mso-position-vertical-relative:paragraph;z-index:-251656192;mso-wrap-distance-left:0;mso-wrap-distance-right:0" coordorigin="1687,183" coordsize="8532,332">
            <v:line style="position:absolute" from="1692,193" to="1692,505" stroked="true" strokeweight=".5pt" strokecolor="#000000">
              <v:stroke dashstyle="solid"/>
            </v:line>
            <v:line style="position:absolute" from="10214,193" to="10214,505" stroked="true" strokeweight=".5pt" strokecolor="#000000">
              <v:stroke dashstyle="solid"/>
            </v:line>
            <v:line style="position:absolute" from="1687,188" to="10219,188" stroked="true" strokeweight=".5pt" strokecolor="#000000">
              <v:stroke dashstyle="solid"/>
            </v:line>
            <v:line style="position:absolute" from="1687,510" to="10219,510" stroked="true" strokeweight=".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0"/>
        <w:rPr>
          <w:sz w:val="20"/>
        </w:rPr>
      </w:pPr>
    </w:p>
    <w:p>
      <w:pPr>
        <w:pStyle w:val="Heading1"/>
        <w:spacing w:before="178"/>
      </w:pPr>
      <w:r>
        <w:rPr/>
        <w:t>8、 信息披露报告（必填）</w:t>
      </w:r>
    </w:p>
    <w:p>
      <w:pPr>
        <w:pStyle w:val="BodyText"/>
        <w:spacing w:before="9"/>
        <w:rPr>
          <w:rFonts w:ascii="Microsoft JhengHei"/>
          <w:b/>
          <w:sz w:val="10"/>
        </w:rPr>
      </w:pPr>
    </w:p>
    <w:p>
      <w:pPr>
        <w:pStyle w:val="BodyText"/>
        <w:spacing w:before="0"/>
        <w:ind w:left="220"/>
      </w:pPr>
      <w:r>
        <w:rPr/>
        <w:t>信息披露报告是否经托管机构或会计师事务所复核：否</w:t>
      </w:r>
    </w:p>
    <w:sectPr>
      <w:pgSz w:w="11910" w:h="16840"/>
      <w:pgMar w:header="0" w:footer="1175" w:top="1580" w:bottom="13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99994pt;margin-top:770.983948pt;width:8.5pt;height:12pt;mso-position-horizontal-relative:page;mso-position-vertical-relative:page;z-index:-252751872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645" w:hanging="42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645" w:hanging="425"/>
        <w:jc w:val="left"/>
      </w:pPr>
      <w:rPr>
        <w:rFonts w:hint="default" w:ascii="Microsoft JhengHei" w:hAnsi="Microsoft JhengHei" w:eastAsia="Microsoft JhengHei" w:cs="Microsoft JhengHei"/>
        <w:b/>
        <w:bCs/>
        <w:w w:val="103"/>
        <w:sz w:val="21"/>
        <w:szCs w:val="21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61" w:hanging="42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71" w:hanging="42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82" w:hanging="42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93" w:hanging="42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03" w:hanging="42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14" w:hanging="42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24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51"/>
      <w:ind w:left="645" w:hanging="425"/>
    </w:pPr>
    <w:rPr>
      <w:rFonts w:ascii="Microsoft JhengHei" w:hAnsi="Microsoft JhengHei" w:eastAsia="Microsoft JhengHei" w:cs="Microsoft JhengHei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no1jijin@163.com" TargetMode="External"/><Relationship Id="rId7" Type="http://schemas.openxmlformats.org/officeDocument/2006/relationships/hyperlink" Target="mailto:yaomin331@cmbchina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wfy</dc:creator>
  <dc:title>证券投资基金信息披露报表</dc:title>
  <dcterms:created xsi:type="dcterms:W3CDTF">2021-01-22T10:28:13Z</dcterms:created>
  <dcterms:modified xsi:type="dcterms:W3CDTF">2021-01-22T10:28:13Z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